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6FEF5687" w14:textId="77777777" w:rsidR="00C47CE5" w:rsidRDefault="00C47CE5" w:rsidP="00C47CE5">
      <w:pPr>
        <w:widowControl/>
        <w:autoSpaceDE/>
        <w:autoSpaceDN/>
        <w:ind w:rightChars="-69" w:right="-152" w:firstLine="284"/>
        <w:jc w:val="center"/>
        <w:outlineLvl w:val="0"/>
        <w:rPr>
          <w:b/>
          <w:bCs/>
          <w:kern w:val="36"/>
          <w:sz w:val="26"/>
          <w:szCs w:val="26"/>
        </w:rPr>
      </w:pPr>
      <w:r>
        <w:rPr>
          <w:b/>
          <w:bCs/>
          <w:kern w:val="36"/>
          <w:sz w:val="26"/>
          <w:szCs w:val="26"/>
        </w:rPr>
        <w:t>NÂNG CAO CHẤT LƯỢNG ĐỘI NGŨ GIẢNG VIÊN TRƯỜNG CAO ĐẲNG LÝ TỰ TRỌNG THÀNH PHỐ HỒ CHÍ MINH ĐÁP ỨNG YÊU CẦU CỦA CUỘC CÁCH MẠNG CÔNG NGHIỆP 4.0</w:t>
      </w:r>
    </w:p>
    <w:p w14:paraId="4BD77C8B" w14:textId="77777777" w:rsidR="00C47CE5" w:rsidRDefault="00C47CE5" w:rsidP="00C47CE5">
      <w:pPr>
        <w:widowControl/>
        <w:autoSpaceDE/>
        <w:autoSpaceDN/>
        <w:jc w:val="center"/>
        <w:rPr>
          <w:rFonts w:eastAsia="Calibri"/>
          <w:b/>
          <w:bCs/>
          <w:sz w:val="26"/>
          <w:szCs w:val="26"/>
          <w:lang w:val="en-US"/>
        </w:rPr>
      </w:pPr>
      <w:r>
        <w:rPr>
          <w:color w:val="202124"/>
          <w:sz w:val="26"/>
          <w:szCs w:val="26"/>
          <w:lang w:val="en"/>
        </w:rPr>
        <w:t>IMPROVING THE QUALITY OF THE TEACHING STAFF OF LY TU TRONG COLLEGE IN HO CHI MINH CITY TO MEET THE REQUIREMENTS OF THE INDUSTRIAL REVOLUTION 4.0</w:t>
      </w:r>
    </w:p>
    <w:p w14:paraId="24D1B1F2" w14:textId="77777777" w:rsidR="00C47CE5" w:rsidRDefault="00C47CE5" w:rsidP="00C47CE5">
      <w:pPr>
        <w:rPr>
          <w:lang w:val="en-US"/>
        </w:rPr>
      </w:pPr>
    </w:p>
    <w:tbl>
      <w:tblPr>
        <w:tblStyle w:val="TableGrid"/>
        <w:tblW w:w="0" w:type="auto"/>
        <w:tblLook w:val="04A0" w:firstRow="1" w:lastRow="0" w:firstColumn="1" w:lastColumn="0" w:noHBand="0" w:noVBand="1"/>
      </w:tblPr>
      <w:tblGrid>
        <w:gridCol w:w="3261"/>
        <w:gridCol w:w="5670"/>
      </w:tblGrid>
      <w:tr w:rsidR="00C47CE5" w14:paraId="30E7CF95" w14:textId="77777777" w:rsidTr="00781926">
        <w:tc>
          <w:tcPr>
            <w:tcW w:w="3261" w:type="dxa"/>
            <w:tcBorders>
              <w:top w:val="nil"/>
              <w:left w:val="nil"/>
              <w:bottom w:val="nil"/>
              <w:right w:val="nil"/>
            </w:tcBorders>
          </w:tcPr>
          <w:p w14:paraId="1BA45567" w14:textId="77777777" w:rsidR="00C47CE5" w:rsidRDefault="00C47CE5" w:rsidP="00781926">
            <w:pPr>
              <w:widowControl/>
              <w:autoSpaceDE/>
              <w:autoSpaceDN/>
              <w:rPr>
                <w:rFonts w:eastAsia="Calibri"/>
                <w:b/>
                <w:sz w:val="21"/>
                <w:szCs w:val="21"/>
                <w:vertAlign w:val="superscript"/>
                <w:lang w:val="en-US"/>
              </w:rPr>
            </w:pPr>
            <w:r>
              <w:rPr>
                <w:rFonts w:eastAsia="Calibri"/>
                <w:b/>
                <w:sz w:val="21"/>
                <w:szCs w:val="21"/>
                <w:lang w:val="en-US"/>
              </w:rPr>
              <w:t>Vũ Đức Pháp</w:t>
            </w:r>
            <w:r>
              <w:rPr>
                <w:rFonts w:eastAsia="Calibri"/>
                <w:b/>
                <w:sz w:val="21"/>
                <w:szCs w:val="21"/>
                <w:vertAlign w:val="superscript"/>
                <w:lang w:val="en-US"/>
              </w:rPr>
              <w:t>1</w:t>
            </w:r>
          </w:p>
        </w:tc>
        <w:tc>
          <w:tcPr>
            <w:tcW w:w="5670" w:type="dxa"/>
            <w:tcBorders>
              <w:top w:val="nil"/>
              <w:left w:val="nil"/>
              <w:bottom w:val="nil"/>
              <w:right w:val="nil"/>
            </w:tcBorders>
          </w:tcPr>
          <w:p w14:paraId="0A6D04A6" w14:textId="77777777" w:rsidR="00C47CE5" w:rsidRDefault="00C47CE5" w:rsidP="00781926">
            <w:pPr>
              <w:widowControl/>
              <w:autoSpaceDE/>
              <w:autoSpaceDN/>
              <w:rPr>
                <w:rFonts w:eastAsia="Calibri"/>
                <w:sz w:val="21"/>
                <w:szCs w:val="21"/>
                <w:lang w:val="en-US"/>
              </w:rPr>
            </w:pPr>
            <w:r>
              <w:rPr>
                <w:rFonts w:eastAsia="Calibri"/>
                <w:sz w:val="21"/>
                <w:szCs w:val="21"/>
                <w:vertAlign w:val="superscript"/>
                <w:lang w:val="en-US"/>
              </w:rPr>
              <w:t>1</w:t>
            </w:r>
            <w:r>
              <w:rPr>
                <w:rFonts w:eastAsia="Calibri"/>
                <w:sz w:val="21"/>
                <w:szCs w:val="21"/>
                <w:lang w:val="en-US"/>
              </w:rPr>
              <w:t>Trường Cao đẳng Lý Tự Trọng TP. HCM;</w:t>
            </w:r>
          </w:p>
          <w:p w14:paraId="1357F893" w14:textId="77777777" w:rsidR="00C47CE5" w:rsidRDefault="00C47CE5" w:rsidP="00781926">
            <w:pPr>
              <w:widowControl/>
              <w:autoSpaceDE/>
              <w:autoSpaceDN/>
              <w:rPr>
                <w:rFonts w:eastAsia="Calibri"/>
                <w:i/>
                <w:sz w:val="21"/>
                <w:szCs w:val="21"/>
                <w:lang w:val="en-US"/>
              </w:rPr>
            </w:pPr>
            <w:r>
              <w:rPr>
                <w:rFonts w:eastAsia="Calibri"/>
                <w:i/>
                <w:sz w:val="21"/>
                <w:szCs w:val="21"/>
                <w:lang w:val="en-US"/>
              </w:rPr>
              <w:t>Email: vuducphap@lttc.edu.vn</w:t>
            </w:r>
          </w:p>
        </w:tc>
      </w:tr>
    </w:tbl>
    <w:p w14:paraId="4813591A" w14:textId="77777777" w:rsidR="00C47CE5" w:rsidRDefault="00C47CE5" w:rsidP="00C47CE5">
      <w:pPr>
        <w:widowControl/>
        <w:autoSpaceDE/>
        <w:autoSpaceDN/>
        <w:spacing w:after="160" w:line="259" w:lineRule="auto"/>
        <w:rPr>
          <w:rFonts w:eastAsia="Calibri"/>
          <w:b/>
          <w:sz w:val="21"/>
          <w:szCs w:val="21"/>
          <w:lang w:val="en-US"/>
        </w:rPr>
      </w:pPr>
    </w:p>
    <w:tbl>
      <w:tblPr>
        <w:tblStyle w:val="TableGrid"/>
        <w:tblW w:w="0" w:type="auto"/>
        <w:tblLook w:val="04A0" w:firstRow="1" w:lastRow="0" w:firstColumn="1" w:lastColumn="0" w:noHBand="0" w:noVBand="1"/>
      </w:tblPr>
      <w:tblGrid>
        <w:gridCol w:w="3261"/>
        <w:gridCol w:w="5670"/>
      </w:tblGrid>
      <w:tr w:rsidR="00C47CE5" w14:paraId="79D6303E" w14:textId="77777777" w:rsidTr="00781926">
        <w:tc>
          <w:tcPr>
            <w:tcW w:w="3261" w:type="dxa"/>
            <w:tcBorders>
              <w:top w:val="nil"/>
              <w:left w:val="nil"/>
              <w:bottom w:val="nil"/>
              <w:right w:val="single" w:sz="24" w:space="0" w:color="auto"/>
            </w:tcBorders>
            <w:shd w:val="clear" w:color="auto" w:fill="auto"/>
          </w:tcPr>
          <w:p w14:paraId="294E0959" w14:textId="77777777" w:rsidR="00C47CE5" w:rsidRDefault="00C47CE5" w:rsidP="00781926">
            <w:pPr>
              <w:widowControl/>
              <w:autoSpaceDE/>
              <w:autoSpaceDN/>
              <w:rPr>
                <w:rFonts w:eastAsia="Calibri"/>
                <w:sz w:val="21"/>
                <w:szCs w:val="21"/>
                <w:lang w:val="en-US"/>
              </w:rPr>
            </w:pPr>
            <w:r>
              <w:rPr>
                <w:rFonts w:eastAsia="Calibri"/>
                <w:b/>
                <w:sz w:val="21"/>
                <w:szCs w:val="21"/>
                <w:lang w:val="en-US"/>
              </w:rPr>
              <w:t>Keywords:</w:t>
            </w:r>
            <w:r>
              <w:rPr>
                <w:rFonts w:eastAsia="Calibri"/>
                <w:sz w:val="21"/>
                <w:szCs w:val="21"/>
                <w:lang w:val="en-US"/>
              </w:rPr>
              <w:t xml:space="preserve"> </w:t>
            </w:r>
            <w:r>
              <w:rPr>
                <w:i/>
                <w:iCs/>
                <w:sz w:val="21"/>
                <w:szCs w:val="21"/>
                <w:lang w:val="en"/>
              </w:rPr>
              <w:t>Industry 4.0, quality, lecturers</w:t>
            </w:r>
          </w:p>
        </w:tc>
        <w:tc>
          <w:tcPr>
            <w:tcW w:w="5670" w:type="dxa"/>
            <w:tcBorders>
              <w:top w:val="nil"/>
              <w:left w:val="single" w:sz="24" w:space="0" w:color="auto"/>
              <w:bottom w:val="nil"/>
              <w:right w:val="nil"/>
            </w:tcBorders>
            <w:shd w:val="clear" w:color="auto" w:fill="BFBFBF" w:themeFill="background1" w:themeFillShade="BF"/>
          </w:tcPr>
          <w:p w14:paraId="31C95913" w14:textId="77777777" w:rsidR="00C47CE5" w:rsidRDefault="00C47CE5" w:rsidP="00781926">
            <w:pPr>
              <w:widowControl/>
              <w:autoSpaceDE/>
              <w:autoSpaceDN/>
              <w:jc w:val="both"/>
              <w:rPr>
                <w:rFonts w:eastAsia="Calibri"/>
                <w:b/>
                <w:sz w:val="21"/>
                <w:szCs w:val="21"/>
                <w:lang w:val="en-US"/>
              </w:rPr>
            </w:pPr>
            <w:r>
              <w:rPr>
                <w:rFonts w:eastAsia="Calibri"/>
                <w:b/>
                <w:sz w:val="21"/>
                <w:szCs w:val="21"/>
                <w:lang w:val="en-US"/>
              </w:rPr>
              <w:t>TÓM TẮT:</w:t>
            </w:r>
          </w:p>
          <w:p w14:paraId="146AFB28" w14:textId="77777777" w:rsidR="00C47CE5" w:rsidRDefault="00C47CE5" w:rsidP="00781926">
            <w:pPr>
              <w:widowControl/>
              <w:autoSpaceDE/>
              <w:autoSpaceDN/>
              <w:jc w:val="both"/>
              <w:rPr>
                <w:rFonts w:eastAsia="Calibri"/>
                <w:b/>
                <w:sz w:val="21"/>
                <w:szCs w:val="21"/>
                <w:lang w:val="en-US"/>
              </w:rPr>
            </w:pPr>
            <w:r>
              <w:rPr>
                <w:rFonts w:eastAsia="Calibri"/>
                <w:b/>
                <w:sz w:val="21"/>
                <w:szCs w:val="21"/>
                <w:lang w:val="en-US"/>
              </w:rPr>
              <w:t xml:space="preserve">Bối cảnh: </w:t>
            </w:r>
            <w:r>
              <w:rPr>
                <w:rFonts w:eastAsia="Calibri"/>
                <w:color w:val="000000"/>
                <w:sz w:val="21"/>
                <w:szCs w:val="21"/>
                <w:lang w:val="en-US"/>
              </w:rPr>
              <w:t>Trong bối cảnh Việt Nam đang hội nhập mạnh mẽ với khu vực và quốc tế, việc nâng cao chất lượng đội ngũ giảng viên có một ý nghĩa quan trọng, đáp ứng yêu cầu nguồn nhân lực của quá trình hội nhập và phát triển trong bối cảnh cuộc cách mạng công nghiệp 4.0.</w:t>
            </w:r>
          </w:p>
          <w:p w14:paraId="6731EB6C" w14:textId="77777777" w:rsidR="00C47CE5" w:rsidRDefault="00C47CE5" w:rsidP="00781926">
            <w:pPr>
              <w:widowControl/>
              <w:autoSpaceDE/>
              <w:autoSpaceDN/>
              <w:jc w:val="both"/>
              <w:rPr>
                <w:color w:val="0D0D0D"/>
                <w:sz w:val="21"/>
                <w:szCs w:val="21"/>
                <w:lang w:val="en-US"/>
              </w:rPr>
            </w:pPr>
            <w:r>
              <w:rPr>
                <w:rFonts w:eastAsia="Calibri"/>
                <w:b/>
                <w:sz w:val="21"/>
                <w:szCs w:val="21"/>
                <w:lang w:val="en-US"/>
              </w:rPr>
              <w:t>Kết quả:</w:t>
            </w:r>
            <w:r>
              <w:rPr>
                <w:rFonts w:eastAsia="Calibri"/>
                <w:sz w:val="21"/>
                <w:szCs w:val="21"/>
                <w:lang w:val="en-US"/>
              </w:rPr>
              <w:t xml:space="preserve"> Trình bày thực trạng của đội ngũ giảng viên giáo dục nghề nghiệp hiện nay và </w:t>
            </w:r>
            <w:r>
              <w:rPr>
                <w:color w:val="0D0D0D"/>
                <w:sz w:val="21"/>
                <w:szCs w:val="21"/>
                <w:lang w:val="en-US"/>
              </w:rPr>
              <w:t>Những yêu cầu đặt ra đối với đội ngũ giảng viên trong cuộc cách mạng công nghiệp 4.0.</w:t>
            </w:r>
          </w:p>
          <w:p w14:paraId="0121696D" w14:textId="77777777" w:rsidR="00C47CE5" w:rsidRDefault="00C47CE5" w:rsidP="00781926">
            <w:pPr>
              <w:widowControl/>
              <w:autoSpaceDE/>
              <w:autoSpaceDN/>
              <w:jc w:val="both"/>
              <w:rPr>
                <w:rFonts w:eastAsia="Calibri"/>
                <w:sz w:val="21"/>
                <w:szCs w:val="21"/>
                <w:lang w:val="en-US"/>
              </w:rPr>
            </w:pPr>
            <w:r>
              <w:rPr>
                <w:rFonts w:eastAsia="Calibri"/>
                <w:b/>
                <w:sz w:val="21"/>
                <w:szCs w:val="21"/>
                <w:lang w:val="en-US"/>
              </w:rPr>
              <w:t xml:space="preserve">Bàn luận: </w:t>
            </w:r>
            <w:r>
              <w:rPr>
                <w:rFonts w:eastAsia="Calibri"/>
                <w:sz w:val="21"/>
                <w:szCs w:val="21"/>
                <w:lang w:val="en-US"/>
              </w:rPr>
              <w:t xml:space="preserve">Các </w:t>
            </w:r>
            <w:r>
              <w:rPr>
                <w:color w:val="0D0D0D"/>
                <w:sz w:val="21"/>
                <w:szCs w:val="21"/>
                <w:lang w:val="en-US"/>
              </w:rPr>
              <w:t xml:space="preserve">giải pháp nâng cao chất lượng đội ngũ giảng viên Trường Cao đẳng Lý Tự Trọng Thành Phố Hồ Chí Minh </w:t>
            </w:r>
            <w:r>
              <w:rPr>
                <w:rFonts w:eastAsia="Calibri"/>
                <w:color w:val="000000"/>
                <w:sz w:val="21"/>
                <w:szCs w:val="21"/>
                <w:lang w:val="en-US"/>
              </w:rPr>
              <w:t>nhằm đào tạo ra nguồn nhân lực chất lượng cao, có kiến thức, kỹ năng để đáp ứng yêu cầu cuộc cách mạng công nghiệp 4.0.</w:t>
            </w:r>
          </w:p>
        </w:tc>
      </w:tr>
      <w:tr w:rsidR="00C47CE5" w14:paraId="1FC822C7" w14:textId="77777777" w:rsidTr="00781926">
        <w:tc>
          <w:tcPr>
            <w:tcW w:w="3261" w:type="dxa"/>
            <w:tcBorders>
              <w:top w:val="nil"/>
              <w:left w:val="nil"/>
              <w:bottom w:val="nil"/>
              <w:right w:val="single" w:sz="24" w:space="0" w:color="auto"/>
            </w:tcBorders>
            <w:shd w:val="clear" w:color="auto" w:fill="auto"/>
          </w:tcPr>
          <w:p w14:paraId="2905BCD4" w14:textId="77777777" w:rsidR="00C47CE5" w:rsidRDefault="00C47CE5" w:rsidP="00781926">
            <w:pPr>
              <w:widowControl/>
              <w:autoSpaceDE/>
              <w:autoSpaceDN/>
              <w:jc w:val="both"/>
              <w:rPr>
                <w:rFonts w:eastAsia="Calibri"/>
                <w:sz w:val="21"/>
                <w:szCs w:val="21"/>
                <w:lang w:val="en-US"/>
              </w:rPr>
            </w:pPr>
          </w:p>
        </w:tc>
        <w:tc>
          <w:tcPr>
            <w:tcW w:w="5670" w:type="dxa"/>
            <w:tcBorders>
              <w:top w:val="nil"/>
              <w:left w:val="single" w:sz="24" w:space="0" w:color="auto"/>
              <w:bottom w:val="nil"/>
              <w:right w:val="nil"/>
            </w:tcBorders>
            <w:shd w:val="clear" w:color="auto" w:fill="BFBFBF" w:themeFill="background1" w:themeFillShade="BF"/>
          </w:tcPr>
          <w:p w14:paraId="5C29CB3C" w14:textId="77777777" w:rsidR="00C47CE5" w:rsidRDefault="00C47CE5" w:rsidP="00781926">
            <w:pPr>
              <w:widowControl/>
              <w:autoSpaceDE/>
              <w:autoSpaceDN/>
              <w:spacing w:before="120"/>
              <w:ind w:firstLine="284"/>
              <w:jc w:val="both"/>
              <w:outlineLvl w:val="0"/>
              <w:rPr>
                <w:rFonts w:eastAsia="Calibri"/>
                <w:b/>
                <w:bCs/>
                <w:color w:val="000000"/>
                <w:sz w:val="21"/>
                <w:szCs w:val="21"/>
                <w:lang w:val="en-US"/>
              </w:rPr>
            </w:pPr>
            <w:r>
              <w:rPr>
                <w:rFonts w:eastAsia="Calibri"/>
                <w:b/>
                <w:bCs/>
                <w:color w:val="000000"/>
                <w:sz w:val="21"/>
                <w:szCs w:val="21"/>
                <w:lang w:val="en-US"/>
              </w:rPr>
              <w:t>ABSTRACT:</w:t>
            </w:r>
          </w:p>
          <w:p w14:paraId="4A669BCE" w14:textId="77777777" w:rsidR="00C47CE5" w:rsidRDefault="00C47CE5" w:rsidP="00781926">
            <w:pPr>
              <w:widowControl/>
              <w:autoSpaceDE/>
              <w:autoSpaceDN/>
              <w:jc w:val="both"/>
              <w:rPr>
                <w:rFonts w:eastAsia="Calibri"/>
                <w:sz w:val="21"/>
                <w:szCs w:val="21"/>
                <w:lang w:val="en-US"/>
              </w:rPr>
            </w:pPr>
            <w:r>
              <w:rPr>
                <w:rFonts w:eastAsia="Calibri"/>
                <w:b/>
                <w:sz w:val="21"/>
                <w:szCs w:val="21"/>
                <w:lang w:val="en-US"/>
              </w:rPr>
              <w:t>Context:</w:t>
            </w:r>
            <w:r>
              <w:rPr>
                <w:color w:val="202124"/>
                <w:sz w:val="21"/>
                <w:szCs w:val="21"/>
                <w:lang w:val="en"/>
              </w:rPr>
              <w:t xml:space="preserve"> In the context that Vietnam is strongly integrating with the region and the world, improving the quality of teaching staff has an important meaning, meeting the human resource requirements of the process of integration and development in the context of Vietnam. scene of the industrial revolution 4.0.</w:t>
            </w:r>
          </w:p>
          <w:p w14:paraId="5D7413F6" w14:textId="77777777" w:rsidR="00C47CE5" w:rsidRDefault="00C47CE5" w:rsidP="00781926">
            <w:pPr>
              <w:widowControl/>
              <w:autoSpaceDE/>
              <w:autoSpaceDN/>
              <w:jc w:val="both"/>
              <w:rPr>
                <w:color w:val="202124"/>
                <w:sz w:val="21"/>
                <w:szCs w:val="21"/>
                <w:lang w:val="en"/>
              </w:rPr>
            </w:pPr>
            <w:r>
              <w:rPr>
                <w:rFonts w:eastAsia="Calibri"/>
                <w:b/>
                <w:sz w:val="21"/>
                <w:szCs w:val="21"/>
                <w:lang w:val="en-US"/>
              </w:rPr>
              <w:t>Results:</w:t>
            </w:r>
            <w:r>
              <w:rPr>
                <w:sz w:val="21"/>
                <w:szCs w:val="21"/>
                <w:lang w:val="en-US"/>
              </w:rPr>
              <w:t xml:space="preserve"> Presenting the current situation of the teaching staff of vocational education and training and the requirements for the teaching staff in the industrial revolution 4.0.</w:t>
            </w:r>
          </w:p>
          <w:p w14:paraId="492EB44F" w14:textId="77777777" w:rsidR="00C47CE5" w:rsidRDefault="00C47CE5" w:rsidP="00781926">
            <w:pPr>
              <w:widowControl/>
              <w:autoSpaceDE/>
              <w:autoSpaceDN/>
              <w:jc w:val="both"/>
              <w:rPr>
                <w:rFonts w:eastAsia="Calibri"/>
                <w:b/>
                <w:sz w:val="21"/>
                <w:szCs w:val="21"/>
                <w:lang w:val="en-US"/>
              </w:rPr>
            </w:pPr>
            <w:r>
              <w:rPr>
                <w:rFonts w:eastAsia="Calibri"/>
                <w:b/>
                <w:sz w:val="21"/>
                <w:szCs w:val="21"/>
                <w:lang w:val="en-US"/>
              </w:rPr>
              <w:t>Discussion:</w:t>
            </w:r>
            <w:r>
              <w:rPr>
                <w:sz w:val="21"/>
                <w:szCs w:val="21"/>
                <w:lang w:val="en-US"/>
              </w:rPr>
              <w:t xml:space="preserve"> </w:t>
            </w:r>
            <w:r>
              <w:rPr>
                <w:rFonts w:eastAsia="Calibri"/>
                <w:color w:val="202124"/>
                <w:sz w:val="21"/>
                <w:szCs w:val="21"/>
                <w:lang w:val="en"/>
              </w:rPr>
              <w:t>Solutions to improve the quality of the teaching staff of Ly Tu Trong College in Ho Chi Minh City to train high-quality human resources with knowledge and skills to meet the requirements of the industrial revolution 4.0.</w:t>
            </w:r>
          </w:p>
        </w:tc>
      </w:tr>
    </w:tbl>
    <w:p w14:paraId="5BEAEB3B" w14:textId="77777777" w:rsidR="00C47CE5" w:rsidRDefault="00C47CE5" w:rsidP="00C47CE5">
      <w:pPr>
        <w:rPr>
          <w:lang w:val="en-US"/>
        </w:rPr>
      </w:pPr>
    </w:p>
    <w:p w14:paraId="5E4F2673" w14:textId="77777777" w:rsidR="00C47CE5" w:rsidRDefault="00C47CE5" w:rsidP="00C47CE5">
      <w:pPr>
        <w:jc w:val="both"/>
        <w:rPr>
          <w:b/>
          <w:bCs/>
          <w:sz w:val="21"/>
          <w:szCs w:val="21"/>
        </w:rPr>
      </w:pPr>
      <w:r>
        <w:rPr>
          <w:b/>
          <w:bCs/>
          <w:sz w:val="21"/>
          <w:szCs w:val="21"/>
        </w:rPr>
        <w:t>1. Mở Đầu</w:t>
      </w:r>
    </w:p>
    <w:p w14:paraId="1D82F8D3" w14:textId="77777777" w:rsidR="00C47CE5" w:rsidRDefault="00C47CE5" w:rsidP="00C47CE5">
      <w:pPr>
        <w:jc w:val="both"/>
        <w:rPr>
          <w:color w:val="0D0D0D"/>
          <w:sz w:val="21"/>
          <w:szCs w:val="21"/>
        </w:rPr>
      </w:pPr>
      <w:r>
        <w:rPr>
          <w:b/>
          <w:bCs/>
          <w:color w:val="0D0D0D"/>
          <w:sz w:val="21"/>
          <w:szCs w:val="21"/>
        </w:rPr>
        <w:t>1.1. Khái quát về cuộc cách mạng công nghiệp 4.0</w:t>
      </w:r>
    </w:p>
    <w:p w14:paraId="44907179" w14:textId="77777777" w:rsidR="00C47CE5" w:rsidRDefault="00C47CE5" w:rsidP="00C47CE5">
      <w:pPr>
        <w:ind w:firstLine="284"/>
        <w:jc w:val="both"/>
        <w:rPr>
          <w:color w:val="0D0D0D"/>
          <w:sz w:val="21"/>
          <w:szCs w:val="21"/>
        </w:rPr>
      </w:pPr>
      <w:r>
        <w:rPr>
          <w:color w:val="0D0D0D"/>
          <w:sz w:val="21"/>
          <w:szCs w:val="21"/>
        </w:rPr>
        <w:t>Thuật ngữ “Cuộc cách mạng công nghiệp lần thứ tư” (còn gọi là Cách mạng công nghiệp 4.0) bắt đầu xuất hiện từ thập niên đầu tiên của thế kỷ XXI, cụ thể được đề cập trong Kế hoạch hành động chiến lược công nghệ cao của Chính phủ Đức năm 2012. Giáo sư Klaus Schawab, Chủ tịch Diễn đàn kinh tế thế giới (WEF) cho rằng: cách mạng công nghiệp lần thứ tư (FIR) là một thuật ngữ bao gồm một loạt các công nghệ tự động hóa hiện đại, trao đổi dữ liệu và chế tạo các hệ thống vật lý trong không gian ảo.</w:t>
      </w:r>
    </w:p>
    <w:p w14:paraId="745DF8FC" w14:textId="77777777" w:rsidR="00C47CE5" w:rsidRDefault="00C47CE5" w:rsidP="00C47CE5">
      <w:pPr>
        <w:spacing w:before="120"/>
        <w:ind w:firstLine="284"/>
        <w:jc w:val="both"/>
        <w:rPr>
          <w:color w:val="0D0D0D"/>
          <w:sz w:val="21"/>
          <w:szCs w:val="21"/>
        </w:rPr>
      </w:pPr>
      <w:r>
        <w:rPr>
          <w:color w:val="0D0D0D"/>
          <w:sz w:val="21"/>
          <w:szCs w:val="21"/>
        </w:rPr>
        <w:t>Xét về bản chất, Cách mạng công nghiệp 4.0 là cuộc cách mạng số hóa, thông qua các công nghệ như internet vạn vật, trí tuệ nhân tạo, thực tế ảo, tương tác thực tại - ảo, mạng xã hội, điện toán đám mây, di động, phân tích dữ liệu lớn… để di chuyển thế giới thực thành thế giới số. So với các cuộc cách mạng công nghiệp trước đó, Cách mạng công nghiệp 4.0 có đặc điểm là tốc độ rất nhanh, quy mô lớn, tích hợp nhiều lĩnh vực, tác động mạnh mẽ, sâu sắc, toàn diện trên nhiều lĩnh vực.</w:t>
      </w:r>
    </w:p>
    <w:p w14:paraId="5425C711" w14:textId="77777777" w:rsidR="00C47CE5" w:rsidRDefault="00C47CE5" w:rsidP="00C47CE5">
      <w:pPr>
        <w:spacing w:before="120"/>
        <w:ind w:firstLine="284"/>
        <w:jc w:val="center"/>
        <w:rPr>
          <w:color w:val="0D0D0D"/>
          <w:sz w:val="21"/>
          <w:szCs w:val="21"/>
        </w:rPr>
      </w:pPr>
      <w:r>
        <w:rPr>
          <w:noProof/>
        </w:rPr>
        <w:lastRenderedPageBreak/>
        <w:drawing>
          <wp:inline distT="0" distB="0" distL="0" distR="0" wp14:anchorId="63A036C3" wp14:editId="1461CD9B">
            <wp:extent cx="3607435" cy="2030730"/>
            <wp:effectExtent l="0" t="0" r="12065" b="762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a:picLocks noChangeAspect="1"/>
                    </pic:cNvPicPr>
                  </pic:nvPicPr>
                  <pic:blipFill>
                    <a:blip r:embed="rId4"/>
                    <a:stretch>
                      <a:fillRect/>
                    </a:stretch>
                  </pic:blipFill>
                  <pic:spPr>
                    <a:xfrm>
                      <a:off x="0" y="0"/>
                      <a:ext cx="3625919" cy="2041002"/>
                    </a:xfrm>
                    <a:prstGeom prst="rect">
                      <a:avLst/>
                    </a:prstGeom>
                  </pic:spPr>
                </pic:pic>
              </a:graphicData>
            </a:graphic>
          </wp:inline>
        </w:drawing>
      </w:r>
    </w:p>
    <w:p w14:paraId="4852CA31" w14:textId="77777777" w:rsidR="00C47CE5" w:rsidRDefault="00C47CE5" w:rsidP="00C47CE5">
      <w:pPr>
        <w:spacing w:before="120" w:after="240"/>
        <w:ind w:firstLine="284"/>
        <w:jc w:val="center"/>
        <w:rPr>
          <w:color w:val="0D0D0D"/>
          <w:sz w:val="21"/>
          <w:szCs w:val="21"/>
        </w:rPr>
      </w:pPr>
      <w:r>
        <w:rPr>
          <w:b/>
          <w:bCs/>
          <w:i/>
          <w:iCs/>
          <w:sz w:val="21"/>
          <w:szCs w:val="21"/>
        </w:rPr>
        <w:t>Hình 1.</w:t>
      </w:r>
      <w:r>
        <w:rPr>
          <w:i/>
          <w:iCs/>
          <w:sz w:val="21"/>
          <w:szCs w:val="21"/>
        </w:rPr>
        <w:t xml:space="preserve"> Công nghệ thông tin là nền tảng của cuộc Cách mạng công nghiệp 4.0</w:t>
      </w:r>
    </w:p>
    <w:p w14:paraId="2B238CAC" w14:textId="77777777" w:rsidR="00C47CE5" w:rsidRDefault="00C47CE5" w:rsidP="00C47CE5">
      <w:pPr>
        <w:shd w:val="clear" w:color="auto" w:fill="FFFFFF"/>
        <w:spacing w:before="120"/>
        <w:ind w:firstLine="284"/>
        <w:jc w:val="both"/>
        <w:rPr>
          <w:sz w:val="21"/>
          <w:szCs w:val="21"/>
        </w:rPr>
      </w:pPr>
      <w:r>
        <w:rPr>
          <w:sz w:val="21"/>
          <w:szCs w:val="21"/>
        </w:rPr>
        <w:t>Ngành giáo dục đào tạo không chỉ chịu sự ảnh hưởng của Cuộc cách mạng công nghiệp lần thứ tư nói riêng và tiến bộ công nghệ nói chung mà còn có tác động ngược lại. Công nghệ và vốn con người là hai yếu tố then chốt nhất trong các mô hình tăng trưởng nội sinh. Khác với các yếu tố đầu vào khác (vốn, lao động, đất đai, tài nguyên thiên nhiên) luôn bị ràng buộc bởi trần giới hạn thì hai yếu tố này có thể tăng lên không bị chặn bởi trần và do vậy là chìa khóa để cho các quốc gia có thể thoát khỏi bẫy thu nhập trung bình. Chính vì vậy đây là những nội dung quan trọng nhất trong chiến lược phát triển của các quốc gia thành công.</w:t>
      </w:r>
    </w:p>
    <w:p w14:paraId="0DD87848" w14:textId="77777777" w:rsidR="00C47CE5" w:rsidRDefault="00C47CE5" w:rsidP="00C47CE5">
      <w:pPr>
        <w:shd w:val="clear" w:color="auto" w:fill="FFFFFF"/>
        <w:spacing w:before="120"/>
        <w:ind w:firstLine="284"/>
        <w:jc w:val="both"/>
        <w:rPr>
          <w:sz w:val="21"/>
          <w:szCs w:val="21"/>
        </w:rPr>
      </w:pPr>
      <w:r>
        <w:rPr>
          <w:sz w:val="21"/>
          <w:szCs w:val="21"/>
        </w:rPr>
        <w:t xml:space="preserve">Ở Việt Nam, giáo dục đào tạo luôn có được vị trí quan trọng trong các chính sách của Nhà nước và trong đầu tư của các gia đình. Chi phí cho giáo dục đào tạo bởi Nhà nước và bởi các gia đình của Việt Nam tính bằng % GDP luôn ở mức cao so với các nước có trình độ phát triển tương đồng và cả các nước ở trong khu vực. </w:t>
      </w:r>
      <w:r>
        <w:rPr>
          <w:sz w:val="21"/>
          <w:szCs w:val="21"/>
          <w:shd w:val="clear" w:color="auto" w:fill="FFFFFF"/>
        </w:rPr>
        <w:t xml:space="preserve">Bộ Giáo dục và Đào tạo xác định, tham gia PISA là cơ hội hội nhập quốc tế về giáo dục; để biết nền giáo dục Việt Nam đang ở đâu trên thế giới, có được bức tranh tổng thể về giáo dục quốc gia so với giáo dục quốc tế, làm cơ sở cho đề xuất những thay đổi về chính sách giáo dục quốc gia. Điều này góp phần đổi mới phương pháp đánh giá, đưa ra cách tiếp cận mới về dạy - học, thi và đánh giá theo hướng phát triển năng lực; góp phần chuẩn bị tích cực cho lộ trình đổi mới giáo dục, xây dựng chương trình giáo dục phổ thông mới. </w:t>
      </w:r>
      <w:r>
        <w:rPr>
          <w:sz w:val="21"/>
          <w:szCs w:val="21"/>
        </w:rPr>
        <w:t xml:space="preserve">Hệ thống giáo dục Việt Nam đạt được những kết quả được quốc tế thừa nhận, đặc biệt trong việc giúp học sinh có được các kỹ năng cơ bản như được kiểm chứng bởi các kết quả cao trong cuộc thi PISA vào năm 2018 </w:t>
      </w:r>
      <w:r>
        <w:rPr>
          <w:i/>
          <w:iCs/>
          <w:sz w:val="21"/>
          <w:szCs w:val="21"/>
        </w:rPr>
        <w:t>(</w:t>
      </w:r>
      <w:r>
        <w:rPr>
          <w:i/>
          <w:iCs/>
          <w:sz w:val="21"/>
          <w:szCs w:val="21"/>
          <w:shd w:val="clear" w:color="auto" w:fill="FFFFFF"/>
        </w:rPr>
        <w:t>Trung tâm Truyền thông Giáo dục – 2019)</w:t>
      </w:r>
      <w:r>
        <w:rPr>
          <w:i/>
          <w:iCs/>
          <w:sz w:val="21"/>
          <w:szCs w:val="21"/>
        </w:rPr>
        <w:t xml:space="preserve">. </w:t>
      </w:r>
    </w:p>
    <w:p w14:paraId="448B14CF" w14:textId="77777777" w:rsidR="00C47CE5" w:rsidRDefault="00C47CE5" w:rsidP="00C47CE5">
      <w:pPr>
        <w:shd w:val="clear" w:color="auto" w:fill="FFFFFF"/>
        <w:spacing w:before="120"/>
        <w:ind w:firstLine="284"/>
        <w:jc w:val="both"/>
        <w:rPr>
          <w:sz w:val="21"/>
          <w:szCs w:val="21"/>
        </w:rPr>
      </w:pPr>
      <w:r>
        <w:rPr>
          <w:sz w:val="21"/>
          <w:szCs w:val="21"/>
        </w:rPr>
        <w:t>Tuy nhiên, trong bối cảnh của Cuộc cách mạng công nghiệp lần thứ tư, hệ thống giáo dục đào tạo của Việt Nam còn có nhiều bất cập so với yêu cầu.</w:t>
      </w:r>
    </w:p>
    <w:p w14:paraId="26AA1AF3" w14:textId="77777777" w:rsidR="00C47CE5" w:rsidRDefault="00C47CE5" w:rsidP="00C47CE5">
      <w:pPr>
        <w:shd w:val="clear" w:color="auto" w:fill="FFFFFF"/>
        <w:ind w:firstLine="284"/>
        <w:jc w:val="both"/>
        <w:rPr>
          <w:sz w:val="21"/>
          <w:szCs w:val="21"/>
        </w:rPr>
      </w:pPr>
      <w:r>
        <w:rPr>
          <w:i/>
          <w:iCs/>
          <w:sz w:val="21"/>
          <w:szCs w:val="21"/>
        </w:rPr>
        <w:t>Thứ nhất</w:t>
      </w:r>
      <w:r>
        <w:rPr>
          <w:sz w:val="21"/>
          <w:szCs w:val="21"/>
        </w:rPr>
        <w:t>, trong một thế giới hiện đại do công nghệ dẫn dắt, chính phủ của nhiều nước trên thế giới, kể cả những nước có nền công nghệ tiên tiến nhất như Mỹ</w:t>
      </w:r>
      <w:bookmarkStart w:id="0" w:name="_ftnref18"/>
      <w:r>
        <w:rPr>
          <w:sz w:val="21"/>
          <w:szCs w:val="21"/>
        </w:rPr>
        <w:fldChar w:fldCharType="begin"/>
      </w:r>
      <w:r>
        <w:rPr>
          <w:sz w:val="21"/>
          <w:szCs w:val="21"/>
        </w:rPr>
        <w:instrText xml:space="preserve"> HYPERLINK "file:///C:\\Users\\Dell\\Downloads\\cuoc_cach_mang_cong_nghiep_lan_th%E1%BB%A9_tu_4.0%20(1).doc" \l "_ftn18" </w:instrText>
      </w:r>
      <w:r>
        <w:rPr>
          <w:sz w:val="21"/>
          <w:szCs w:val="21"/>
        </w:rPr>
        <w:fldChar w:fldCharType="end"/>
      </w:r>
      <w:bookmarkEnd w:id="0"/>
      <w:r>
        <w:rPr>
          <w:sz w:val="21"/>
          <w:szCs w:val="21"/>
        </w:rPr>
        <w:t> và Nhật, đã có </w:t>
      </w:r>
      <w:r>
        <w:rPr>
          <w:i/>
          <w:iCs/>
          <w:sz w:val="21"/>
          <w:szCs w:val="21"/>
        </w:rPr>
        <w:t>chính sách ưu tiên rõ rệt cho các ngành khoa học, công nghệ, kỹ thuật và toán (Science, Technology, Engineering and Mathematics, viết tắt là STEM).</w:t>
      </w:r>
      <w:r>
        <w:rPr>
          <w:sz w:val="21"/>
          <w:szCs w:val="21"/>
        </w:rPr>
        <w:t> Trong khi đó ở Việt Nam chưa có những định hướng rõ nét, dẫn đến tình trạng những sinh viên giỏi nhất thường lựa chọn các ngành kinh tế, ngoại thương, tài chính, ngân hàng v.v…</w:t>
      </w:r>
    </w:p>
    <w:p w14:paraId="66D89645" w14:textId="77777777" w:rsidR="00C47CE5" w:rsidRDefault="00C47CE5" w:rsidP="00C47CE5">
      <w:pPr>
        <w:shd w:val="clear" w:color="auto" w:fill="FFFFFF"/>
        <w:ind w:firstLine="284"/>
        <w:jc w:val="both"/>
        <w:rPr>
          <w:sz w:val="21"/>
          <w:szCs w:val="21"/>
        </w:rPr>
      </w:pPr>
      <w:r>
        <w:rPr>
          <w:i/>
          <w:iCs/>
          <w:sz w:val="21"/>
          <w:szCs w:val="21"/>
        </w:rPr>
        <w:t>Thứ hai</w:t>
      </w:r>
      <w:r>
        <w:rPr>
          <w:sz w:val="21"/>
          <w:szCs w:val="21"/>
        </w:rPr>
        <w:t>, </w:t>
      </w:r>
      <w:r>
        <w:rPr>
          <w:i/>
          <w:iCs/>
          <w:sz w:val="21"/>
          <w:szCs w:val="21"/>
        </w:rPr>
        <w:t>sự kết nối giữa các trường và các doanh nghiệp</w:t>
      </w:r>
      <w:r>
        <w:rPr>
          <w:sz w:val="21"/>
          <w:szCs w:val="21"/>
        </w:rPr>
        <w:t> hiện nay còn yếu, ảnh hưởng đến chất lượng đào tạo cũng như việc hỗ trợ sinh viên thực tập để có kiến thức thực tế để qua đó dễ dàng xin việc sau khi tốt nghiệp. Kết quả là kể cả trong các ngành tăng trưởng nhanh, sinh viên khi ra trường thiếu nhiều kỹ năng mà doanh nghiệp cần.</w:t>
      </w:r>
    </w:p>
    <w:p w14:paraId="1E09C589" w14:textId="77777777" w:rsidR="00C47CE5" w:rsidRDefault="00C47CE5" w:rsidP="00C47CE5">
      <w:pPr>
        <w:shd w:val="clear" w:color="auto" w:fill="FFFFFF"/>
        <w:ind w:firstLine="284"/>
        <w:jc w:val="both"/>
        <w:rPr>
          <w:sz w:val="21"/>
          <w:szCs w:val="21"/>
        </w:rPr>
      </w:pPr>
      <w:r>
        <w:rPr>
          <w:i/>
          <w:iCs/>
          <w:sz w:val="21"/>
          <w:szCs w:val="21"/>
        </w:rPr>
        <w:t>Thứ ba</w:t>
      </w:r>
      <w:r>
        <w:rPr>
          <w:sz w:val="21"/>
          <w:szCs w:val="21"/>
        </w:rPr>
        <w:t xml:space="preserve">, trong thế giới ngày nay, công nghệ thay đổi rất nhanh với tốc độ cấp số nhân. </w:t>
      </w:r>
      <w:r>
        <w:rPr>
          <w:i/>
          <w:iCs/>
          <w:sz w:val="21"/>
          <w:szCs w:val="21"/>
        </w:rPr>
        <w:t>Bởi vậy, các kỹ năng đặc thù ngành hay công nghệ cụ thể bị khấu hao rất nhanh.</w:t>
      </w:r>
      <w:r>
        <w:rPr>
          <w:sz w:val="21"/>
          <w:szCs w:val="21"/>
        </w:rPr>
        <w:t xml:space="preserve"> Điều này có hai hàm ý: </w:t>
      </w:r>
    </w:p>
    <w:p w14:paraId="77EBE4E5" w14:textId="77777777" w:rsidR="00C47CE5" w:rsidRDefault="00C47CE5" w:rsidP="00C47CE5">
      <w:pPr>
        <w:shd w:val="clear" w:color="auto" w:fill="FFFFFF"/>
        <w:ind w:firstLine="284"/>
        <w:jc w:val="both"/>
        <w:rPr>
          <w:sz w:val="21"/>
          <w:szCs w:val="21"/>
        </w:rPr>
      </w:pPr>
      <w:r>
        <w:rPr>
          <w:sz w:val="21"/>
          <w:szCs w:val="21"/>
        </w:rPr>
        <w:t xml:space="preserve">1. Cần chú trọng đào tạo các kỹ năng nhận thức cấp cao như giải quyết vấn đề, suy luận logic, làm việc theo nhóm, kỹ năng thích nghi nhanh; </w:t>
      </w:r>
    </w:p>
    <w:p w14:paraId="2FB91403" w14:textId="77777777" w:rsidR="00C47CE5" w:rsidRDefault="00C47CE5" w:rsidP="00C47CE5">
      <w:pPr>
        <w:shd w:val="clear" w:color="auto" w:fill="FFFFFF"/>
        <w:ind w:firstLine="284"/>
        <w:jc w:val="both"/>
        <w:rPr>
          <w:sz w:val="21"/>
          <w:szCs w:val="21"/>
        </w:rPr>
      </w:pPr>
      <w:r>
        <w:rPr>
          <w:sz w:val="21"/>
          <w:szCs w:val="21"/>
        </w:rPr>
        <w:t>2.  Cần tạo động lực và khả năng học tập suốt đời và học tập liên tục cho mọi người.</w:t>
      </w:r>
    </w:p>
    <w:p w14:paraId="6A418371" w14:textId="77777777" w:rsidR="00C47CE5" w:rsidRDefault="00C47CE5" w:rsidP="00C47CE5">
      <w:pPr>
        <w:spacing w:before="120"/>
        <w:ind w:firstLine="284"/>
        <w:jc w:val="both"/>
        <w:rPr>
          <w:color w:val="0D0D0D"/>
          <w:sz w:val="21"/>
          <w:szCs w:val="21"/>
        </w:rPr>
      </w:pPr>
      <w:r>
        <w:rPr>
          <w:color w:val="0D0D0D"/>
          <w:sz w:val="21"/>
          <w:szCs w:val="21"/>
        </w:rPr>
        <w:t xml:space="preserve">Với những đặc điểm như trên, Cách mạng công nghiệp 4.0 đang tạo ra những cơ hội và triển vọng, đồng thời đặt ra những thách thức và yêu cầu mới đối với nguồn nhân lực trong hiện tại và tương lai. Cụ thể, nguồn nhân lực trong Cách mạng công nghiệp 4.0 phải có đầy đủ các yếu tố: khả năng thích ứng nhanh nhất với môi trường </w:t>
      </w:r>
      <w:r>
        <w:rPr>
          <w:color w:val="0D0D0D"/>
          <w:sz w:val="21"/>
          <w:szCs w:val="21"/>
        </w:rPr>
        <w:lastRenderedPageBreak/>
        <w:t>lao động và với tiến bộ khoa học công nghệ mới, với năng lực chuyên môn và trình độ nghiệp vụ cao; có ý chí vượt khó, bền bỉ trong công việc, có đạo đức nghề nghiệp thể hiện qua tinh thần kỷ luật, ý thức trách nhiệm, tinh thần dân chủ, hợp tác và ý thức vì cộng đồng; có kỹ năng làm việc nhóm, khả năng thay đổi, thích ứng nhanh, hội nhập cao, có sáng kiến đột phá, sáng tạo trong công việc; có năng lực thực tế tạo nên kết quả cao và vượt trội trong công việc, có năng lực cạnh tranh. </w:t>
      </w:r>
    </w:p>
    <w:p w14:paraId="6E5C6369" w14:textId="77777777" w:rsidR="00C47CE5" w:rsidRDefault="00C47CE5" w:rsidP="00C47CE5">
      <w:pPr>
        <w:spacing w:before="120" w:after="120"/>
        <w:jc w:val="both"/>
        <w:rPr>
          <w:b/>
          <w:bCs/>
          <w:color w:val="0D0D0D"/>
          <w:sz w:val="21"/>
          <w:szCs w:val="21"/>
        </w:rPr>
      </w:pPr>
      <w:r>
        <w:rPr>
          <w:b/>
          <w:bCs/>
          <w:color w:val="0D0D0D"/>
          <w:sz w:val="21"/>
          <w:szCs w:val="21"/>
        </w:rPr>
        <w:t>2. Kết quả nghiên cứu</w:t>
      </w:r>
    </w:p>
    <w:p w14:paraId="695E996B" w14:textId="77777777" w:rsidR="00C47CE5" w:rsidRDefault="00C47CE5" w:rsidP="00C47CE5">
      <w:pPr>
        <w:jc w:val="both"/>
        <w:rPr>
          <w:rStyle w:val="fontstyle21"/>
          <w:b/>
          <w:bCs/>
          <w:i/>
          <w:iCs/>
          <w:sz w:val="21"/>
          <w:szCs w:val="21"/>
        </w:rPr>
      </w:pPr>
      <w:r>
        <w:rPr>
          <w:rStyle w:val="fontstyle21"/>
          <w:b/>
          <w:bCs/>
          <w:i/>
          <w:iCs/>
          <w:sz w:val="21"/>
          <w:szCs w:val="21"/>
        </w:rPr>
        <w:t>2.1. Thực trạng đội ngũ giảng viên trong các cơ sở giáo dục nghề nghiệp hiện nay</w:t>
      </w:r>
    </w:p>
    <w:p w14:paraId="6D309BD3" w14:textId="77777777" w:rsidR="00C47CE5" w:rsidRDefault="00C47CE5" w:rsidP="00C47CE5">
      <w:pPr>
        <w:pStyle w:val="NormalWeb"/>
        <w:shd w:val="clear" w:color="auto" w:fill="FFFFFF"/>
        <w:spacing w:before="0" w:beforeAutospacing="0" w:after="0" w:afterAutospacing="0"/>
        <w:ind w:firstLine="284"/>
        <w:jc w:val="both"/>
        <w:rPr>
          <w:color w:val="222222"/>
          <w:sz w:val="21"/>
          <w:szCs w:val="21"/>
        </w:rPr>
      </w:pPr>
      <w:r>
        <w:rPr>
          <w:color w:val="222222"/>
          <w:sz w:val="21"/>
          <w:szCs w:val="21"/>
        </w:rPr>
        <w:t>Tại Nghị quyết số 76/NQ-CP ngày 03/9/2016 của Chính phủ về phiên họp thường kỳ của Chính phủ tháng 8/2016, Chính phủ đã thống nhất giao Bộ Lao động – Thương binh và Xã hội là cơ quan quản lý nhà nước (QLNN) về GDNN. Theo đó, từ ngày 01/01/2017, Bộ Lao động – Thương binh và Xã hội chính thức tiếp nhận chuyển giao công tác QLNN về GDNN, tiếp nhận toàn bộ trường trung cấp chuyên nghiệp, trường cao đẳng từ Bộ Giáo dục và Ðào tạo.</w:t>
      </w:r>
    </w:p>
    <w:p w14:paraId="7CD6D473" w14:textId="77777777" w:rsidR="00C47CE5" w:rsidRDefault="00C47CE5" w:rsidP="00C47CE5">
      <w:pPr>
        <w:pStyle w:val="NormalWeb"/>
        <w:shd w:val="clear" w:color="auto" w:fill="FFFFFF"/>
        <w:spacing w:before="120" w:beforeAutospacing="0" w:after="0" w:afterAutospacing="0"/>
        <w:ind w:firstLine="284"/>
        <w:jc w:val="both"/>
        <w:rPr>
          <w:color w:val="222222"/>
          <w:sz w:val="21"/>
          <w:szCs w:val="21"/>
        </w:rPr>
      </w:pPr>
      <w:r>
        <w:rPr>
          <w:color w:val="222222"/>
          <w:sz w:val="21"/>
          <w:szCs w:val="21"/>
        </w:rPr>
        <w:t>Đến nay, sau hơn 3 năm chuyển giao, bộ máy QLNN về GDNN đã được kiện toàn từ trung ương tới địa phương. Việc quản lý được thực hiện theo hướng phân cấp mạnh cho địa phương và tăng tính tự chủ, đi đôi với tự chịu trách nhiệm của cơ sở GDNN. Khi tiếp nhận, hệ thống GDNN có 1.989 cơ sở (gồm: 409 trường cao đẳng, 583 trường trung cấp và 997 trung tâm GDNN), đến cuối năm 2018, đã giảm xuống còn 1.954 cơ sở (bao gồm 394 trường cao đẳng, 515 trường trung cấp và 1.045 trung tâm GDNN). Mặc dù đã đạt được những kết quả bước đầu nhưng trên thực tế, mạng lưới cơ sở GDNN vẫn còn bất cập về phân bố giữa các vùng, miền, ngành nghề, trình độ đào tạo, quy mô đào tạo của nhiều trường còn nhỏ.</w:t>
      </w:r>
    </w:p>
    <w:p w14:paraId="58A14812" w14:textId="77777777" w:rsidR="00C47CE5" w:rsidRDefault="00C47CE5" w:rsidP="00C47CE5">
      <w:pPr>
        <w:pStyle w:val="NormalWeb"/>
        <w:shd w:val="clear" w:color="auto" w:fill="FFFFFF"/>
        <w:spacing w:before="120" w:beforeAutospacing="0" w:after="0" w:afterAutospacing="0"/>
        <w:ind w:firstLine="284"/>
        <w:jc w:val="both"/>
        <w:rPr>
          <w:color w:val="222222"/>
          <w:sz w:val="21"/>
          <w:szCs w:val="21"/>
        </w:rPr>
      </w:pPr>
      <w:r>
        <w:rPr>
          <w:color w:val="222222"/>
          <w:sz w:val="21"/>
          <w:szCs w:val="21"/>
        </w:rPr>
        <w:t>Trước thực tế nêu trên, quy hoạch lại mạng lưới cơ sở GDNN bảo đảm tinh gọn, cơ cấu hợp lý, hoạt động hiệu quả được xem là một trong những giải pháp quan trọng để sắp xếp lại hệ thống GDNN. Nhờ sự nỗ lực và tích cực trong đổi mới, chúng ta đã hình thành mạng lưới các cơ sở đào tạo nghề nghiệp rộng khắp cả nước, đa dạng về loại hình và ngành nghề đào tạo. Quy mô và chất lượng đào tạo nghề không ngừng tăng, đáp ứng tốt hơn nhu cầu học tập của người dân, góp phần tăng tỷ lệ lao động qua đào tạo. Tính đến tháng 6/2019, qua công tác quy hoạch, sắp xếp lại, cả nước còn 1.917 cơ sở GDNN, trong đó có 400 trường cao đẳng, 492 trường trung cấp, 1.025 trung tâm GDNN, giảm 37 cơ sở so với năm.</w:t>
      </w:r>
    </w:p>
    <w:p w14:paraId="3E56C3F7" w14:textId="77777777" w:rsidR="00C47CE5" w:rsidRDefault="00C47CE5" w:rsidP="00C47CE5">
      <w:pPr>
        <w:pStyle w:val="NormalWeb"/>
        <w:shd w:val="clear" w:color="auto" w:fill="FFFFFF"/>
        <w:spacing w:before="120" w:beforeAutospacing="0" w:after="0" w:afterAutospacing="0"/>
        <w:ind w:firstLine="284"/>
        <w:jc w:val="both"/>
        <w:rPr>
          <w:color w:val="222222"/>
          <w:sz w:val="21"/>
          <w:szCs w:val="21"/>
        </w:rPr>
      </w:pPr>
      <w:r>
        <w:rPr>
          <w:color w:val="222222"/>
          <w:sz w:val="21"/>
          <w:szCs w:val="21"/>
        </w:rPr>
        <w:t>Năm 2019, công tác tuyển sinh GDNN có nhiều chuyển biến tích cực: lĩnh vực GDNN tuyển sinh khoảng 2.338 nghìn người, đạt 103,5% kế hoạch năm, bằng 105,8% so với năm 2018; trong đó: trình độ cao đẳng, trung cấp khoảng 568 nghìn người; trình độ sơ cấp và các chương trình đào tạo nghề nghiệp khác khoảng 1.770 nghìn người. Đây là năm thứ 3 liên tiếp kể từ khi hệ thống GDNN được thống nhất quản lý về Bộ Lao động – Thương binh và Xã hội, ngành đạt vượt chỉ tiêu về tuyển sinh. Cùng với việc đẩy mạnh công tác tuyển sinh, chất lượng đào tạo tại các cơ sở GDNN của Việt Nam cũng ngày càng được nâng lên. Kỹ năng nghề nghiệp của người tốt nghiệp các cơ sở GDNN được cải thiện. Trên 85% học sinh, sinh viên tốt nghiệp trung cấp, cao đẳng có việc làm; có trường, có nghề đạt tỷ lệ 100% với mức thu nhập từ 7 – 10 triệu đồng/tháng… Tại các kỳ thi tay nghề của thế giới, Việt Nam đã dành nhiều thứ hạng cao, cụ thể, tại Kỳ thi tay nghề thế giới lần thứ 45 (tháng 8/2019) diễn ra tại Liên bang Nga, đoàn Việt Nam lần đầu tiên giành 1 Huy chương Bạc và được trao 8 Chứng chỉ nghề xuất sắc. Đây là kết quả cao nhất từ trước đến nay của Việt Nam sau bảy lần tham dự sự kiện này. Theo Báo cáo năng lực cạnh tranh toàn cầu 2019 (GCI 4.0) của Diễn đàn Kinh tế Thế giới (WEF), chất lượng đào tạo nghề nghiệp của Việt Nam đã tăng 13 bậc, được đánh giá tốt nhất trong khối ASEAN.</w:t>
      </w:r>
    </w:p>
    <w:p w14:paraId="21A8A403" w14:textId="77777777" w:rsidR="00C47CE5" w:rsidRDefault="00C47CE5" w:rsidP="00C47CE5">
      <w:pPr>
        <w:spacing w:before="120"/>
        <w:ind w:firstLine="284"/>
        <w:jc w:val="both"/>
        <w:rPr>
          <w:rStyle w:val="fontstyle21"/>
          <w:b/>
          <w:bCs/>
          <w:sz w:val="21"/>
          <w:szCs w:val="21"/>
        </w:rPr>
      </w:pPr>
      <w:r>
        <w:rPr>
          <w:color w:val="222222"/>
          <w:sz w:val="21"/>
          <w:szCs w:val="21"/>
        </w:rPr>
        <w:t xml:space="preserve">Cùng với việc chất lượng sinh viên tốt nghiệp được nâng lên, đội ngũ giáo viên tại các cơ sở GDNN của Việt Nam cũng được chuẩn hóa kỹ năng giảng dạy thông qua việc đổi mới cấu trúc chương trình GDNN từ tách biệt lý thuyết – thực hành sang đào tạo theo hình thức tích hợp kiến thức chuyên môn, kỹ năng thực hành và thái độ nghề nghiệp. Tính đến hết tháng 12/2018, cả nước có tổng số 86.350 nhà giáo trong các cơ sở GDNN (trong đó có 37.826 nhà giáo tại các trường cao đẳng, 18.198 nhà giáo tại các trường trung cấp và 15.481 nhà giáo tại các trung tâm GDNN), ngoài ra, có gần 14.845 nhà giáo thuộc các cơ sở khác có tham gia hoạt động GDNN. Trong giai đoạn 2016 – 2018, 1.200 giáo viên được đào tạo, bồi dưỡng trong nước về nghiệp vụ sư phạm GDNN; 15.000 giáo viên được đào tạo theo tín chỉ, biên soạn giáo án và tổ chức giảng dạy tích hợp, tổ chức đào tạo và đánh giá theo năng lực thực hiện, kỹ năng mềm; 2.850 lượt cán bộ quản lý GDNN; đào tạo, bồi dưỡng cho 391 giáo viên tại Australia, CHLB Đức để dạy các nghề nhận chuyển giao. </w:t>
      </w:r>
      <w:r>
        <w:rPr>
          <w:i/>
          <w:iCs/>
          <w:sz w:val="21"/>
          <w:szCs w:val="21"/>
        </w:rPr>
        <w:t>(</w:t>
      </w:r>
      <w:r>
        <w:rPr>
          <w:rStyle w:val="Strong"/>
          <w:i/>
          <w:iCs/>
          <w:color w:val="222222"/>
          <w:sz w:val="21"/>
          <w:szCs w:val="21"/>
          <w:shd w:val="clear" w:color="auto" w:fill="FFFFFF"/>
        </w:rPr>
        <w:t>TS. Ngô Thị Hải Anh-</w:t>
      </w:r>
      <w:r>
        <w:rPr>
          <w:i/>
          <w:iCs/>
          <w:color w:val="000000"/>
          <w:sz w:val="21"/>
          <w:szCs w:val="21"/>
        </w:rPr>
        <w:t>2021)</w:t>
      </w:r>
    </w:p>
    <w:p w14:paraId="5DA8D34A" w14:textId="77777777" w:rsidR="00C47CE5" w:rsidRDefault="00C47CE5" w:rsidP="00C47CE5">
      <w:pPr>
        <w:spacing w:before="120" w:after="120"/>
        <w:jc w:val="both"/>
        <w:rPr>
          <w:i/>
          <w:iCs/>
          <w:color w:val="0D0D0D"/>
          <w:sz w:val="21"/>
          <w:szCs w:val="21"/>
        </w:rPr>
      </w:pPr>
      <w:r>
        <w:rPr>
          <w:b/>
          <w:bCs/>
          <w:i/>
          <w:iCs/>
          <w:color w:val="0D0D0D"/>
          <w:sz w:val="21"/>
          <w:szCs w:val="21"/>
        </w:rPr>
        <w:t>2.2 Những yêu cầu đặt ra đối với đội ngũ giảng viên trong cuộc cách mạng công nghiệp 4.0</w:t>
      </w:r>
    </w:p>
    <w:p w14:paraId="30BEB3AC" w14:textId="77777777" w:rsidR="00C47CE5" w:rsidRDefault="00C47CE5" w:rsidP="00C47CE5">
      <w:pPr>
        <w:pStyle w:val="NormalWeb"/>
        <w:shd w:val="clear" w:color="auto" w:fill="FFFFFF"/>
        <w:spacing w:before="0" w:beforeAutospacing="0" w:after="0" w:afterAutospacing="0"/>
        <w:ind w:firstLine="284"/>
        <w:jc w:val="both"/>
        <w:textAlignment w:val="baseline"/>
        <w:rPr>
          <w:color w:val="363636"/>
          <w:sz w:val="21"/>
          <w:szCs w:val="21"/>
        </w:rPr>
      </w:pPr>
      <w:r>
        <w:rPr>
          <w:color w:val="0D0D0D"/>
          <w:sz w:val="21"/>
          <w:szCs w:val="21"/>
        </w:rPr>
        <w:lastRenderedPageBreak/>
        <w:t xml:space="preserve">Trước tác động của cuộc cách mạng công nghiệp 4.0, nhiều quốc gia ngày càng nhận thức rõ xã hội muốn tiến bộ thì phải dựa vào sức mạnh của tri thức, được bắt nguồn từ việc khai thác tiềm năng sáng tạo vô tận của con người. Vì vậy, việc phát huy nguồn lực của con người là nhân tố cơ bản của sự phát triển nhanh, bền vững. </w:t>
      </w:r>
      <w:r>
        <w:rPr>
          <w:sz w:val="21"/>
          <w:szCs w:val="21"/>
          <w:shd w:val="clear" w:color="auto" w:fill="FFFFFF"/>
        </w:rPr>
        <w:t>Chiến lược phát triển kinh tế - xã hội 10 năm 2021-2030</w:t>
      </w:r>
      <w:r>
        <w:rPr>
          <w:sz w:val="21"/>
          <w:szCs w:val="21"/>
        </w:rPr>
        <w:t>,</w:t>
      </w:r>
      <w:r>
        <w:rPr>
          <w:color w:val="0D0D0D"/>
          <w:sz w:val="21"/>
          <w:szCs w:val="21"/>
        </w:rPr>
        <w:t xml:space="preserve"> Đảng ta khẳng định: </w:t>
      </w:r>
      <w:r>
        <w:rPr>
          <w:color w:val="000000"/>
          <w:sz w:val="21"/>
          <w:szCs w:val="21"/>
        </w:rPr>
        <w:t>Xây dựng con người Việt Nam phát triển toàn diện, có sức khỏe, năng lực, trình độ, có ý thức, trách nhiệm cao đối với bản thân, gia đình, xã hội và Tổ quốc. Đẩy mạnh phát triển nguồn nhân lực, nhất là nhân lực chất lượng cao, đáp ứng yêu cầu của cuộc Cách mạng công nghiệp lần thứ tư và hội nhập quốc tế. Phát triển đội ngũ chuyên gia, nhà khoa học đầu ngành; chú trọng đội ngũ nhân lực kỹ thuật, nhân lực số, nhân lực quản trị công nghệ, nhân lực quản lý, quản trị doanh nghiệp; nhân lực quản lý xã hội và tổ chức cuộc sống, chăm sóc con người. Đổi mới chế độ tuyển dụng, sử dụng, trọng dụng nhân tài trong quản lý, quản trị nhà nước, khoa học, công nghệ và đổi mới sáng tạo</w:t>
      </w:r>
      <w:r>
        <w:rPr>
          <w:i/>
          <w:iCs/>
          <w:sz w:val="21"/>
          <w:szCs w:val="21"/>
        </w:rPr>
        <w:t>. (Tư liệu văn kiện Đảng -</w:t>
      </w:r>
      <w:r>
        <w:rPr>
          <w:i/>
          <w:iCs/>
          <w:sz w:val="21"/>
          <w:szCs w:val="21"/>
          <w:shd w:val="clear" w:color="auto" w:fill="FFFFFF"/>
        </w:rPr>
        <w:t xml:space="preserve"> Chiến lược phát triển kinh tế - xã hội 10 năm 2021-2030).</w:t>
      </w:r>
    </w:p>
    <w:p w14:paraId="1EFF95A5" w14:textId="77777777" w:rsidR="00C47CE5" w:rsidRDefault="00C47CE5" w:rsidP="00C47CE5">
      <w:pPr>
        <w:pStyle w:val="NormalWeb"/>
        <w:shd w:val="clear" w:color="auto" w:fill="FFFFFF"/>
        <w:spacing w:before="120" w:beforeAutospacing="0" w:after="0" w:afterAutospacing="0"/>
        <w:ind w:firstLine="284"/>
        <w:jc w:val="both"/>
        <w:textAlignment w:val="baseline"/>
        <w:rPr>
          <w:color w:val="363636"/>
          <w:sz w:val="21"/>
          <w:szCs w:val="21"/>
        </w:rPr>
      </w:pPr>
      <w:r>
        <w:rPr>
          <w:color w:val="000000"/>
          <w:sz w:val="21"/>
          <w:szCs w:val="21"/>
        </w:rPr>
        <w:t>Đổi mới và nâng cao chất lượng giáo dục nghề nghiệp theo hướng mở, linh hoạt; bảo đảm thống nhất với chủ trương đổi mới căn bản và toàn diện giáo dục và đào tạo. Tập trung nâng cao chất lượng nguồn nhân lực, chuyển dịch nhanh cơ cấu lao động, nhất là ở nông thôn; giảm tỷ lệ lao động khu vực phi chính thức. Chú trọng đào tạo lại, đào tạo thường xuyên lực lượng lao động. Hình thành đội ngũ lao động lành nghề, góp phần nâng cao năng lực cạnh tranh quốc gia, gắn kết chặt chẽ giữa đào tạo và sử dụng lao động.</w:t>
      </w:r>
    </w:p>
    <w:p w14:paraId="4E1C8B58" w14:textId="77777777" w:rsidR="00C47CE5" w:rsidRDefault="00C47CE5" w:rsidP="00C47CE5">
      <w:pPr>
        <w:pStyle w:val="NormalWeb"/>
        <w:shd w:val="clear" w:color="auto" w:fill="FFFFFF"/>
        <w:spacing w:before="120" w:beforeAutospacing="0" w:after="0" w:afterAutospacing="0"/>
        <w:ind w:firstLine="284"/>
        <w:jc w:val="both"/>
        <w:textAlignment w:val="baseline"/>
        <w:rPr>
          <w:sz w:val="21"/>
          <w:szCs w:val="21"/>
        </w:rPr>
      </w:pPr>
      <w:r>
        <w:rPr>
          <w:color w:val="000000"/>
          <w:sz w:val="21"/>
          <w:szCs w:val="21"/>
        </w:rPr>
        <w:t>Tạo chuyển biến căn bản, mạnh mẽ về chất lượng, hiệu quả giáo dục, đào tạo. Nghiên cứu để hoàn thiện, ổn định hệ thống sách giáo khoa và chế độ thi cử ở các cấp học. Chú trọng đào tạo, đào tạo lại đội ngũ giáo viên đáp ứng yêu cầu đổi mới căn bản, toàn diện giáo dục, đào tạo. Chuyển mạnh quá trình giáo dục từ chủ yếu trang bị kiến thức sang phát triển toàn diện năng lực và phẩm chất người học; từ học chủ yếu trên lớp sang tổ chức hình thức học tập đa dạng, chú ý dạy và học trực tuyến, qua internet, truyền hình, các hoạt động xã hội, ngoại khóa, nghiên cứu khoa học; giáo dục nhà trường kết hợp với giáo dục gia đình và giáo dục xã hội. Đào tạo con người theo hướng có đạo đức, kỷ luật, kỷ cương, ý thức trách nhiệm công dân, xã hội; có kỹ năng sống, kỹ năng làm việc, ngoại ngữ, công nghệ thông tin, công nghệ số, tư duy sáng tạo và hội nhập quốc tế (công dân toàn cầu).</w:t>
      </w:r>
      <w:r>
        <w:rPr>
          <w:color w:val="0D0D0D"/>
          <w:sz w:val="21"/>
          <w:szCs w:val="21"/>
        </w:rPr>
        <w:t xml:space="preserve"> Để hiện thực hóa chủ trương của Đảng, cần phải phát triển toàn diện, hiện đại nền giáo dục, đặc biệt là giáo dục cao đẳng. Bởi vì, giáo dục cao đẳng là bậc học cao, là giai đoạn gần cuối của quá trình học tập theo trường lớp, nhưng lại đóng vai trò quan trọng trong sự nghiệp đổi mới và cải cách hệ thống giáo dục của mỗi quốc gia. </w:t>
      </w:r>
      <w:r>
        <w:rPr>
          <w:sz w:val="21"/>
          <w:szCs w:val="21"/>
        </w:rPr>
        <w:t>Nhiệm vụ quan trọng này đòi hỏi đội ngũ giảng viên cần đáp ứng những yêu cầu cơ bản như sau:</w:t>
      </w:r>
    </w:p>
    <w:p w14:paraId="381A95D9" w14:textId="77777777" w:rsidR="00C47CE5" w:rsidRDefault="00C47CE5" w:rsidP="00C47CE5">
      <w:pPr>
        <w:spacing w:before="120"/>
        <w:ind w:firstLine="284"/>
        <w:jc w:val="both"/>
        <w:rPr>
          <w:i/>
          <w:iCs/>
          <w:color w:val="0D0D0D"/>
          <w:sz w:val="21"/>
          <w:szCs w:val="21"/>
        </w:rPr>
      </w:pPr>
      <w:r>
        <w:rPr>
          <w:i/>
          <w:iCs/>
          <w:color w:val="0D0D0D"/>
          <w:sz w:val="21"/>
          <w:szCs w:val="21"/>
        </w:rPr>
        <w:t>Thứ nhất, đội ngũ giảng viên cao đẳng cần có trình độ chuyên môn cao, hiểu biết sâu rộng trên nhiều lĩnh vực.</w:t>
      </w:r>
    </w:p>
    <w:p w14:paraId="6EF3685E" w14:textId="77777777" w:rsidR="00C47CE5" w:rsidRDefault="00C47CE5" w:rsidP="00C47CE5">
      <w:pPr>
        <w:ind w:firstLine="284"/>
        <w:jc w:val="both"/>
        <w:rPr>
          <w:color w:val="0D0D0D"/>
          <w:sz w:val="21"/>
          <w:szCs w:val="21"/>
        </w:rPr>
      </w:pPr>
      <w:r>
        <w:rPr>
          <w:color w:val="0D0D0D"/>
          <w:sz w:val="21"/>
          <w:szCs w:val="21"/>
        </w:rPr>
        <w:t>Cách mạng công nghiệp 4.0 đòi hỏi phải có nguồn nhân lực chất lượng cao, đáp ứng được các yêu cầu về kiến thức, kỹ năng và phẩm chất, vốn liên tục thay đổi trong môi trường lao động mới. Do đó, danh mục ngành, nghề đào tạo sẽ phải điều chỉnh, cập nhật liên tục, từ đó hàng loạt ngành, chuyên ngành cũ sẽ mất đi và thay vào đó là cơ hội cho sự phát triển của những ngành, chuyên ngành đào tạo mới, đặc biệt là liên quan đến sự tương tác giữa con người và máy móc. Vì vậy, các trường cao đẳng sẽ phải chuyển đổi mạnh mẽ sang mô hình chỉ đào tạo “những gì thị trường cần”, những nội dung của các môn học cơ bản sẽ phải được rút ngắn và thay thế vào đó là những nội dung cần thiết để đáp ứng nhu cầu của thị trường lao động và giúp người học thực hiện được phương châm “học tập suốt đời”. Bên cạnh đó, giáo dục phải giúp người học phát triển về năng lực, thúc đẩy đổi mới và sáng tạo để thích ứng trong môi trường làm việc thường xuyên thay đổi.</w:t>
      </w:r>
    </w:p>
    <w:p w14:paraId="0AF7C361" w14:textId="77777777" w:rsidR="00C47CE5" w:rsidRDefault="00C47CE5" w:rsidP="00C47CE5">
      <w:pPr>
        <w:spacing w:before="120"/>
        <w:ind w:firstLine="284"/>
        <w:jc w:val="both"/>
        <w:rPr>
          <w:color w:val="0D0D0D"/>
          <w:sz w:val="21"/>
          <w:szCs w:val="21"/>
        </w:rPr>
      </w:pPr>
      <w:r>
        <w:rPr>
          <w:i/>
          <w:iCs/>
          <w:color w:val="0D0D0D"/>
          <w:sz w:val="21"/>
          <w:szCs w:val="21"/>
        </w:rPr>
        <w:t>Thứ hai, đội ngũ giảng viên phải có khả năng thích ứng nhanh với sự thay đổi mọi hoạt động của nhà trường.</w:t>
      </w:r>
    </w:p>
    <w:p w14:paraId="5E0F22FF" w14:textId="77777777" w:rsidR="00C47CE5" w:rsidRDefault="00C47CE5" w:rsidP="00C47CE5">
      <w:pPr>
        <w:ind w:firstLine="284"/>
        <w:jc w:val="both"/>
        <w:rPr>
          <w:color w:val="0D0D0D"/>
          <w:sz w:val="21"/>
          <w:szCs w:val="21"/>
        </w:rPr>
      </w:pPr>
      <w:r>
        <w:rPr>
          <w:color w:val="0D0D0D"/>
          <w:sz w:val="21"/>
          <w:szCs w:val="21"/>
        </w:rPr>
        <w:t xml:space="preserve">Nhằm đáp ứng yêu cầu về nguồn nhân lực chất lượng cao trong bối cảnh Cách mạng công nghiệp 4.0, các trường cao đẳng phải thay đổi các hoạt động đào tạo như đổi mới chương trình, phương pháp giảng dạy, quản lý sinh viên, phương pháp kiểm tra, đánh giá chuẩn đầu ra, với sự ứng dụng mạnh mẽ công nghệ thông tin. Nhà trường không chỉ đào tạo trực tiếp mà còn đào tạo trực tuyến, giảng viên không cần đứng lớp, người học sẽ được hướng dẫn học qua mạng internet; sinh viên có cơ hội để tiếp cận, tích luỹ, chắt lọc những kiến thức phù hợp với bản thân và công việc. Hiện nay, việc liên kết giữa cơ sở đào tạo với các tổ chức, doanh nghiệp là yêu cầu tất yếu để phân chia các nguồn lực chung, làm cho các nguồn lực được sử dụng với hiệu quả cao nhất. Điều này sẽ tác động đến việc bố trí cán bộ quản lý và đội ngũ giảng viên của các trường. Nếu như giảng viên hầu hết ở các trường cao đẳng đang giảng dạy bằng máy chiếu, video, chia sẻ tài liệu trên mạng, thì trong cuộc cách mạng công nghiệp 4.0 tất cả dữ liệu của người học từ mã số, điểm số, thông tin cá nhân đều được số hóa. Giảng viên thay vì tập trung cung cấp cho người học các kiến thức, kỹ năng trên lớp, phải định hướng cho sinh viên biết </w:t>
      </w:r>
      <w:r>
        <w:rPr>
          <w:color w:val="0D0D0D"/>
          <w:sz w:val="21"/>
          <w:szCs w:val="21"/>
        </w:rPr>
        <w:lastRenderedPageBreak/>
        <w:t>cách học tập sao cho thích hợp với nhu cầu, khả năng của mình, cách tư duy và xử lý các tình huống trong cuộc sống, qua đó hình thành năng lực tiếp cận và giải quyết vấn đề. Bên cạnh đó, giảng viên phải là người hướng dẫn, điều phối, tổ chức hoạt động và đánh giá kết quả học tập, sáng tạo của sinh viên. </w:t>
      </w:r>
    </w:p>
    <w:p w14:paraId="05BE8AC6" w14:textId="77777777" w:rsidR="00C47CE5" w:rsidRDefault="00C47CE5" w:rsidP="00C47CE5">
      <w:pPr>
        <w:spacing w:before="120"/>
        <w:ind w:firstLine="284"/>
        <w:jc w:val="both"/>
        <w:rPr>
          <w:color w:val="0D0D0D"/>
          <w:sz w:val="21"/>
          <w:szCs w:val="21"/>
        </w:rPr>
      </w:pPr>
      <w:r>
        <w:rPr>
          <w:i/>
          <w:iCs/>
          <w:color w:val="0D0D0D"/>
          <w:sz w:val="21"/>
          <w:szCs w:val="21"/>
        </w:rPr>
        <w:t>Thứ ba, đội ngũ giảng viên phải giỏi về ngoại ngữ và công nghệ thông tin.</w:t>
      </w:r>
    </w:p>
    <w:p w14:paraId="79DE8440" w14:textId="77777777" w:rsidR="00C47CE5" w:rsidRDefault="00C47CE5" w:rsidP="00C47CE5">
      <w:pPr>
        <w:ind w:firstLine="284"/>
        <w:jc w:val="both"/>
        <w:rPr>
          <w:color w:val="0D0D0D"/>
          <w:sz w:val="21"/>
          <w:szCs w:val="21"/>
        </w:rPr>
      </w:pPr>
      <w:r>
        <w:rPr>
          <w:color w:val="0D0D0D"/>
          <w:sz w:val="21"/>
          <w:szCs w:val="21"/>
        </w:rPr>
        <w:t>Ngày nay, môi trường giáo dục không chỉ diễn ra trong phạm vi nhà trường mà mở rộng ra phạm vi toàn cầu. Người học có thể chủ động nghiên cứu tài liệu cũng như tương tác với giảng viên ở mọi thời điểm bằng máy tính hoặc điện thoại thông minh. Công nghệ thực tế tăng cường/thực tế ảo (AR/VR) được sử dụng rộng rãi, giúp người học trải nghiệm và rèn luyện kỹ năng. Theo nghiên cứu của các nhà khoa học giáo dục trên thế giới, hiện nay có khoảng hơn 200 công cụ hỗ trợ có thể áp dụng vào quá trình giảng dạy và nghiên cứu. Đồng thời, nhờ ứng dụng các công nghệ AI, Big Data và IoT, lãnh đạo nhà trường, giảng viên có thể thu thập dữ liệu, phân tích và đánh giá chính xác về người học; theo dõi quá trình học tập tại nhà, kiểm tra mức độ hoàn thành bài tập và thông báo kết quả học tập tới sinh viên cũng như gia đình. Tuy nhiên, không ít giảng viên chưa hiểu và sử dụng được những công cụ mới này trong thực tiễn, hiệu quả giảng dạy vì vậy không cao. Do đó, để có thể cập nhật những kiến thức hiện đại mang tính toàn cầu, cũng như ứng dụng công nghệ thông tin thành thạo trong quá trình giảng dạy, đội ngũ giảng viên phải giỏi về ngoại ngữ và công nghệ thông tin, làm chủ công nghệ và tạo ra sự tự do, sáng tạo trong công tác đào tạo.</w:t>
      </w:r>
    </w:p>
    <w:p w14:paraId="68847F89" w14:textId="77777777" w:rsidR="00C47CE5" w:rsidRDefault="00C47CE5" w:rsidP="00C47CE5">
      <w:pPr>
        <w:spacing w:before="120" w:after="120"/>
        <w:jc w:val="both"/>
        <w:rPr>
          <w:i/>
          <w:iCs/>
          <w:color w:val="0D0D0D"/>
          <w:sz w:val="21"/>
          <w:szCs w:val="21"/>
        </w:rPr>
      </w:pPr>
      <w:r>
        <w:rPr>
          <w:b/>
          <w:bCs/>
          <w:i/>
          <w:iCs/>
          <w:color w:val="0D0D0D"/>
          <w:sz w:val="21"/>
          <w:szCs w:val="21"/>
        </w:rPr>
        <w:t>2.3. Giải pháp nâng cao chất lượng đội ngũ giảng viên Trường Cao đẳng Lý Tự Trọng Thành Phố Hồ Chí Minh đáp ứng yêu cầu cuộc cách mạng công nghiệp 4.0</w:t>
      </w:r>
    </w:p>
    <w:p w14:paraId="3E1DA760" w14:textId="77777777" w:rsidR="00C47CE5" w:rsidRDefault="00C47CE5" w:rsidP="00C47CE5">
      <w:pPr>
        <w:ind w:firstLine="284"/>
        <w:jc w:val="both"/>
        <w:rPr>
          <w:color w:val="0D0D0D"/>
          <w:sz w:val="21"/>
          <w:szCs w:val="21"/>
        </w:rPr>
      </w:pPr>
      <w:r>
        <w:rPr>
          <w:color w:val="0D0D0D"/>
          <w:sz w:val="21"/>
          <w:szCs w:val="21"/>
        </w:rPr>
        <w:t>Để đáp ứng yêu cầu, nhiệm vụ trong công cuộc xây dựng và phát triển đất nước, đặc biệt là sự nghiệp đổi mới nền giáo dục của Việt Nam trước sự phát triển mạnh mẽ của cuộc cách mạng công nghiệp 4.0, cần thực hiện những giải pháp sau để nâng cao chất lượng đội ngũ giảng viên:</w:t>
      </w:r>
    </w:p>
    <w:p w14:paraId="12AAEA57" w14:textId="77777777" w:rsidR="00C47CE5" w:rsidRDefault="00C47CE5" w:rsidP="00C47CE5">
      <w:pPr>
        <w:spacing w:before="120"/>
        <w:ind w:firstLine="284"/>
        <w:jc w:val="both"/>
        <w:rPr>
          <w:color w:val="0D0D0D"/>
          <w:sz w:val="21"/>
          <w:szCs w:val="21"/>
        </w:rPr>
      </w:pPr>
      <w:r>
        <w:rPr>
          <w:i/>
          <w:iCs/>
          <w:color w:val="0D0D0D"/>
          <w:sz w:val="21"/>
          <w:szCs w:val="21"/>
        </w:rPr>
        <w:t>Thứ nhất,</w:t>
      </w:r>
      <w:r>
        <w:rPr>
          <w:color w:val="0D0D0D"/>
          <w:sz w:val="21"/>
          <w:szCs w:val="21"/>
        </w:rPr>
        <w:t> </w:t>
      </w:r>
      <w:r>
        <w:rPr>
          <w:i/>
          <w:iCs/>
          <w:color w:val="0D0D0D"/>
          <w:sz w:val="21"/>
          <w:szCs w:val="21"/>
        </w:rPr>
        <w:t>đội ngũ giảng viên cần phải được bồi dưỡng, nâng cao trình độ, năng lực chuyên môn</w:t>
      </w:r>
      <w:r>
        <w:rPr>
          <w:color w:val="0D0D0D"/>
          <w:sz w:val="21"/>
          <w:szCs w:val="21"/>
        </w:rPr>
        <w:t xml:space="preserve"> bằng những biện pháp như tập huấn nâng cao trình độ chuyên môn. Chọn, cử giảng viên đủ tiêu chuẩn để đào tạo trình độ tiến sĩ, ưu tiên gửi giảng viên đi đào tạo ở các nước tiên tiến trên thế giới</w:t>
      </w:r>
      <w:r>
        <w:rPr>
          <w:rFonts w:ascii="Segoe UI Semilight" w:hAnsi="Segoe UI Semilight" w:cs="Segoe UI Semilight"/>
          <w:color w:val="333333"/>
          <w:sz w:val="21"/>
          <w:szCs w:val="21"/>
        </w:rPr>
        <w:t xml:space="preserve">. </w:t>
      </w:r>
      <w:r>
        <w:rPr>
          <w:color w:val="0D0D0D"/>
          <w:sz w:val="21"/>
          <w:szCs w:val="21"/>
        </w:rPr>
        <w:t>Sử dụng công nghệ thông tin phục vụ dạy học, ứng dụng các hình thức tiên tiến vào công tác bồi dưỡng giảng viên, đẩy mạnh công tác nghiên cứu khoa học, bồi dưỡng theo hướng nghiên cứu và nâng cao trình độ ngoại ngữ. Cụ thể: bồi dưỡng cho giảng viên chủ động tham gia các hình thức đào tạo tiên tiến, đào tạo trực tuyến, để vừa nâng cao trình độ, vừa tiếp cận các mô hình dạy học mới, qua đó giúp họ bổ sung kiến thức, đa dạng hóa các hình thức giảng dạy. Trong thời gian tới, các mô hình giảng dạy trực tuyến sẽ được ứng dụng trong đào tạo cao đẳng, như E-learning; B-learning; hội thảo truyền hình. Đồng thời, cần nhân rộng mô hình liên kết giữa Nhà trường - Nhà quản lý - Nhà doanh nghiệp để trên cơ sở mối liên kết đó giảng viên có thể tham gia trực tiếp vào quá trình thực hành và làm việc trong các doanh nghiệp, các doanh nghiệp có thể cử các nhân viên có trình độ tay nghề cao tham gia quá trình đào tạo. Như vậy, giảng viên mới có điều kiện đổi mới, sáng tạo, gắn lý luận với thực tiễn. Bên cạnh đó, cần đẩy mạnh công tác bồi dưỡng năng lực nghiên cứu khoa học cho đội ngũ giảng viên để họ có thể ứng dụng các phương pháp hiện đại vào công tác giảng dạy.</w:t>
      </w:r>
    </w:p>
    <w:p w14:paraId="41ECC4A0" w14:textId="77777777" w:rsidR="00C47CE5" w:rsidRDefault="00C47CE5" w:rsidP="00C47CE5">
      <w:pPr>
        <w:spacing w:before="120"/>
        <w:ind w:firstLine="284"/>
        <w:jc w:val="center"/>
      </w:pPr>
      <w:r>
        <w:rPr>
          <w:noProof/>
        </w:rPr>
        <w:drawing>
          <wp:inline distT="0" distB="0" distL="0" distR="0" wp14:anchorId="071962F7" wp14:editId="73F66549">
            <wp:extent cx="2776220" cy="1856105"/>
            <wp:effectExtent l="0" t="0" r="5080" b="1079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a:picLocks noChangeAspect="1"/>
                    </pic:cNvPicPr>
                  </pic:nvPicPr>
                  <pic:blipFill>
                    <a:blip r:embed="rId5"/>
                    <a:stretch>
                      <a:fillRect/>
                    </a:stretch>
                  </pic:blipFill>
                  <pic:spPr>
                    <a:xfrm>
                      <a:off x="0" y="0"/>
                      <a:ext cx="2803693" cy="1874626"/>
                    </a:xfrm>
                    <a:prstGeom prst="rect">
                      <a:avLst/>
                    </a:prstGeom>
                  </pic:spPr>
                </pic:pic>
              </a:graphicData>
            </a:graphic>
          </wp:inline>
        </w:drawing>
      </w:r>
    </w:p>
    <w:p w14:paraId="334010BB" w14:textId="77777777" w:rsidR="00C47CE5" w:rsidRDefault="00C47CE5" w:rsidP="00C47CE5">
      <w:pPr>
        <w:spacing w:before="120" w:after="240"/>
        <w:ind w:firstLine="284"/>
        <w:jc w:val="center"/>
        <w:rPr>
          <w:color w:val="0D0D0D"/>
          <w:sz w:val="21"/>
          <w:szCs w:val="21"/>
        </w:rPr>
      </w:pPr>
      <w:r>
        <w:rPr>
          <w:b/>
          <w:bCs/>
          <w:i/>
          <w:iCs/>
          <w:sz w:val="21"/>
          <w:szCs w:val="21"/>
        </w:rPr>
        <w:t>Hình 2.</w:t>
      </w:r>
      <w:r>
        <w:rPr>
          <w:i/>
          <w:iCs/>
          <w:sz w:val="21"/>
          <w:szCs w:val="21"/>
        </w:rPr>
        <w:t xml:space="preserve"> </w:t>
      </w:r>
      <w:r>
        <w:rPr>
          <w:i/>
          <w:iCs/>
          <w:color w:val="0D0D0D"/>
          <w:sz w:val="21"/>
          <w:szCs w:val="21"/>
        </w:rPr>
        <w:t>Giảng viên học bồi dưỡng, nâng cao trình độ</w:t>
      </w:r>
      <w:r>
        <w:fldChar w:fldCharType="begin"/>
      </w:r>
      <w:r>
        <w:instrText xml:space="preserve"> INCLUDEPICTURE "https://files.giaoducthoidai.vn/Uploaded/ngandk/2019-10-09/boiduonggv-DALF.jpg" \* MERGEFORMATINET </w:instrText>
      </w:r>
      <w:r>
        <w:fldChar w:fldCharType="end"/>
      </w:r>
    </w:p>
    <w:p w14:paraId="3BCEB146" w14:textId="77777777" w:rsidR="00C47CE5" w:rsidRDefault="00C47CE5" w:rsidP="00C47CE5">
      <w:pPr>
        <w:spacing w:before="120"/>
        <w:ind w:firstLine="284"/>
        <w:jc w:val="both"/>
        <w:rPr>
          <w:color w:val="0D0D0D"/>
          <w:sz w:val="21"/>
          <w:szCs w:val="21"/>
        </w:rPr>
      </w:pPr>
      <w:r>
        <w:rPr>
          <w:i/>
          <w:iCs/>
          <w:color w:val="0D0D0D"/>
          <w:sz w:val="21"/>
          <w:szCs w:val="21"/>
        </w:rPr>
        <w:t>Thứ hai,</w:t>
      </w:r>
      <w:r>
        <w:rPr>
          <w:color w:val="0D0D0D"/>
          <w:sz w:val="21"/>
          <w:szCs w:val="21"/>
        </w:rPr>
        <w:t> </w:t>
      </w:r>
      <w:r>
        <w:rPr>
          <w:i/>
          <w:iCs/>
          <w:color w:val="0D0D0D"/>
          <w:sz w:val="21"/>
          <w:szCs w:val="21"/>
        </w:rPr>
        <w:t>cần chú trọng phát triển năng lực giảng dạy</w:t>
      </w:r>
      <w:r>
        <w:rPr>
          <w:color w:val="0D0D0D"/>
          <w:sz w:val="21"/>
          <w:szCs w:val="21"/>
        </w:rPr>
        <w:t xml:space="preserve">, bao gồm những nội dung cụ thể như xây dựng chương </w:t>
      </w:r>
      <w:r>
        <w:rPr>
          <w:color w:val="0D0D0D"/>
          <w:sz w:val="21"/>
          <w:szCs w:val="21"/>
        </w:rPr>
        <w:lastRenderedPageBreak/>
        <w:t>trình giảng dạy ở cấp độ môn học; xác định mục tiêu học tập của môn học và từng đơn vị học tập của sinh viên; xác định những nội dung phù hợp để đạt tới các mục tiêu đã đề ra; xác định các phương pháp học tập và giảng dạy phù hợp nhằm chuyển tải được nội dung và đạt tới mục tiêu; xác định các phương pháp đánh giá phù hợp để động viên người học, đánh giá đúng trình độ của người học. Nâng cao năng lực sử dụng các phương pháp giảng dạy tích cực, phù hợp với chuyên môn của bản thân như: giảng dạy bằng tình huống, thảo luận nhóm, khám phá, mô phỏng, dự án... Rèn luyện các năng lực truyền đạt; năng lực giải quyết vấn đề và ra quyết định; năng lực quản lý xung đột và đàm phán; năng lực không ngừng học tập và phát triển bản thân; năng lực sử dụng các thiết bị, phương tiện hiện đại trong giảng dạy (quản lý tài nguyên, dữ liệu trên internet, sử dụng thành thạo các phương tiện công nghệ mới phục vụ quá trình dạy học...).</w:t>
      </w:r>
    </w:p>
    <w:p w14:paraId="03738E05" w14:textId="77777777" w:rsidR="00C47CE5" w:rsidRDefault="00C47CE5" w:rsidP="00C47CE5">
      <w:pPr>
        <w:spacing w:before="120"/>
        <w:ind w:firstLine="284"/>
        <w:jc w:val="center"/>
        <w:rPr>
          <w:color w:val="0D0D0D"/>
          <w:sz w:val="21"/>
          <w:szCs w:val="21"/>
        </w:rPr>
      </w:pPr>
      <w:r>
        <w:rPr>
          <w:noProof/>
        </w:rPr>
        <w:drawing>
          <wp:inline distT="0" distB="0" distL="0" distR="0" wp14:anchorId="4E988D44" wp14:editId="4D704B56">
            <wp:extent cx="2711450" cy="1805940"/>
            <wp:effectExtent l="0" t="0" r="12700" b="381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a:picLocks noChangeAspect="1"/>
                    </pic:cNvPicPr>
                  </pic:nvPicPr>
                  <pic:blipFill>
                    <a:blip r:embed="rId6"/>
                    <a:stretch>
                      <a:fillRect/>
                    </a:stretch>
                  </pic:blipFill>
                  <pic:spPr>
                    <a:xfrm>
                      <a:off x="0" y="0"/>
                      <a:ext cx="2739773" cy="1825205"/>
                    </a:xfrm>
                    <a:prstGeom prst="rect">
                      <a:avLst/>
                    </a:prstGeom>
                  </pic:spPr>
                </pic:pic>
              </a:graphicData>
            </a:graphic>
          </wp:inline>
        </w:drawing>
      </w:r>
    </w:p>
    <w:p w14:paraId="031C0327" w14:textId="77777777" w:rsidR="00C47CE5" w:rsidRDefault="00C47CE5" w:rsidP="00C47CE5">
      <w:pPr>
        <w:spacing w:before="120" w:after="240"/>
        <w:ind w:firstLine="284"/>
        <w:jc w:val="center"/>
        <w:rPr>
          <w:i/>
          <w:iCs/>
          <w:color w:val="0D0D0D"/>
          <w:sz w:val="21"/>
          <w:szCs w:val="21"/>
        </w:rPr>
      </w:pPr>
      <w:r>
        <w:rPr>
          <w:b/>
          <w:bCs/>
          <w:i/>
          <w:iCs/>
          <w:sz w:val="21"/>
          <w:szCs w:val="21"/>
        </w:rPr>
        <w:t>Hình 3.</w:t>
      </w:r>
      <w:r>
        <w:rPr>
          <w:i/>
          <w:iCs/>
          <w:sz w:val="21"/>
          <w:szCs w:val="21"/>
        </w:rPr>
        <w:t xml:space="preserve"> </w:t>
      </w:r>
      <w:r>
        <w:rPr>
          <w:i/>
          <w:iCs/>
          <w:sz w:val="21"/>
          <w:szCs w:val="21"/>
          <w:shd w:val="clear" w:color="auto" w:fill="FFFFFF"/>
        </w:rPr>
        <w:t>Thiết kế chương trình đào tạo và lựa chọn phương pháp đào tạo phù hợp</w:t>
      </w:r>
    </w:p>
    <w:p w14:paraId="64B19E85" w14:textId="77777777" w:rsidR="00C47CE5" w:rsidRDefault="00C47CE5" w:rsidP="00C47CE5">
      <w:pPr>
        <w:spacing w:before="120"/>
        <w:ind w:firstLine="284"/>
        <w:jc w:val="both"/>
        <w:rPr>
          <w:color w:val="0D0D0D"/>
          <w:sz w:val="21"/>
          <w:szCs w:val="21"/>
        </w:rPr>
      </w:pPr>
      <w:r>
        <w:rPr>
          <w:i/>
          <w:iCs/>
          <w:color w:val="0D0D0D"/>
          <w:sz w:val="21"/>
          <w:szCs w:val="21"/>
        </w:rPr>
        <w:t>Thứ ba,</w:t>
      </w:r>
      <w:r>
        <w:rPr>
          <w:color w:val="0D0D0D"/>
          <w:sz w:val="21"/>
          <w:szCs w:val="21"/>
        </w:rPr>
        <w:t> </w:t>
      </w:r>
      <w:r>
        <w:rPr>
          <w:i/>
          <w:iCs/>
          <w:color w:val="0D0D0D"/>
          <w:sz w:val="21"/>
          <w:szCs w:val="21"/>
        </w:rPr>
        <w:t>từng bước hoàn thiện những tiêu chuẩn về đạo đức nhà giáo và thường xuyên trau dồi phẩm chất chính trị</w:t>
      </w:r>
      <w:r>
        <w:rPr>
          <w:color w:val="0D0D0D"/>
          <w:sz w:val="21"/>
          <w:szCs w:val="21"/>
        </w:rPr>
        <w:t xml:space="preserve">. Bồi dưỡng, rèn luyện đạo đức nhà giáo phải được xem là việc làm trọng tâm, thường xuyên có tính lâu dài không chỉ trong nhận thức, mà quan trọng hơn là mỗi nhà giáo phải tự xây dựng kế hoạch thực hiện nâng cao đạo đức của mình qua từng năm học. Coi trọng việc đổi mới, khát vọng vươn lên, hoàn thiện văn hóa sư phạm, biết tự học để có hiểu biết sâu rộng về chuyên môn nghiệp vụ, kỹ năng sư phạm, luôn ý thức chấp hành tốt nhiệm vụ giảng dạy và giáo dục học sinh. Giữ gìn tình đoàn kết, thống nhất trong tập thể sư phạm, biết lắng nghe, sẵn sàng học hỏi và cầu tiến. Nêu cao tính nguyên tắc, tính kỷ luật, tính sư phạm các hoạt động giáo dục trong nhà trường. Sống và làm việc theo pháp luật của Nhà nước và quy định về đạo đức nhà giáo, thực hiện tốt cuộc vận động “Mỗi thầy cô giáo là tấm gương về đạo đức và tự học”. Luôn thể hiện sự chuẩn mực, tính sư phạm trong tác phong, lối sống, xử lý khéo tình huống trong các mối quan hệ với đồng nghiệp, với PHHS, với công việc, nhất là đối với sinh viên học sinh. </w:t>
      </w:r>
    </w:p>
    <w:p w14:paraId="0D1B4CBB" w14:textId="77777777" w:rsidR="00C47CE5" w:rsidRDefault="00C47CE5" w:rsidP="00C47CE5">
      <w:pPr>
        <w:spacing w:before="120"/>
        <w:ind w:firstLine="284"/>
        <w:jc w:val="both"/>
        <w:rPr>
          <w:sz w:val="21"/>
          <w:szCs w:val="21"/>
        </w:rPr>
      </w:pPr>
      <w:r>
        <w:rPr>
          <w:i/>
          <w:iCs/>
          <w:sz w:val="21"/>
          <w:szCs w:val="21"/>
        </w:rPr>
        <w:t>Thứ tư, phải có sự kết nối giữa Nhà trường, Giáo viên và các doanh nghiệp</w:t>
      </w:r>
      <w:r>
        <w:rPr>
          <w:b/>
          <w:bCs/>
          <w:i/>
          <w:iCs/>
          <w:sz w:val="21"/>
          <w:szCs w:val="21"/>
        </w:rPr>
        <w:t xml:space="preserve">. </w:t>
      </w:r>
      <w:r>
        <w:rPr>
          <w:sz w:val="21"/>
          <w:szCs w:val="21"/>
        </w:rPr>
        <w:t xml:space="preserve">Trong cuộc cách mạng 4.0 công nghệ phát triển vượt bậc, để phát triển nhà trường, nâng cao trình độ tay nghề cho giáo viên và để sinh viên không phải bỡ ngỡ khi ra trường thì Nhà trường nên chú trọng gắn kết với các doanh nghiệp để thực hiện các nghiên cứu triển khai (R&amp;D) để nâng cao khả năng hấp thụ, và nếu tốt hơn là tạo ra các bằng phát minh sáng chế (patents), và để lôi cuốn sinh viên các năm vào trong các hoạt động này. </w:t>
      </w:r>
      <w:r>
        <w:rPr>
          <w:rStyle w:val="fontstyle01"/>
          <w:sz w:val="21"/>
          <w:szCs w:val="21"/>
        </w:rPr>
        <w:t xml:space="preserve">Để tăng cường kết nối, mỗi giáo viên cần phải chủ động, hợp tác với doanh nghiệp trong NCKH, hợp tác đầu tư, phát triển và thương mại hóa sản phẩm NCKH. Gắn chặt đào tạo với nghiên cứu, thúc đẩy nghiên cứu gắn kết với đổi mới sáng tạo và khởi nghiệp. </w:t>
      </w:r>
      <w:r>
        <w:rPr>
          <w:sz w:val="21"/>
          <w:szCs w:val="21"/>
        </w:rPr>
        <w:t xml:space="preserve">Thực tập tại công ty để có các kinh nghiệm thực tiễn phù hợp càng quan trọng hơn trong bối cảnh cuộc cách mạng công nghiệp lần thứ tư. </w:t>
      </w:r>
    </w:p>
    <w:p w14:paraId="6B5B6870" w14:textId="77777777" w:rsidR="00C47CE5" w:rsidRDefault="00C47CE5" w:rsidP="00C47CE5">
      <w:pPr>
        <w:spacing w:before="120"/>
        <w:ind w:firstLine="284"/>
        <w:jc w:val="center"/>
        <w:rPr>
          <w:sz w:val="21"/>
          <w:szCs w:val="21"/>
        </w:rPr>
      </w:pPr>
      <w:r>
        <w:rPr>
          <w:noProof/>
        </w:rPr>
        <w:lastRenderedPageBreak/>
        <w:drawing>
          <wp:inline distT="0" distB="0" distL="0" distR="0" wp14:anchorId="6806EFB7" wp14:editId="6D2738A3">
            <wp:extent cx="2886075" cy="1924050"/>
            <wp:effectExtent l="0" t="0" r="9525"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pic:cNvPicPr>
                      <a:picLocks noChangeAspect="1"/>
                    </pic:cNvPicPr>
                  </pic:nvPicPr>
                  <pic:blipFill>
                    <a:blip r:embed="rId7"/>
                    <a:stretch>
                      <a:fillRect/>
                    </a:stretch>
                  </pic:blipFill>
                  <pic:spPr>
                    <a:xfrm>
                      <a:off x="0" y="0"/>
                      <a:ext cx="2893084" cy="1928616"/>
                    </a:xfrm>
                    <a:prstGeom prst="rect">
                      <a:avLst/>
                    </a:prstGeom>
                  </pic:spPr>
                </pic:pic>
              </a:graphicData>
            </a:graphic>
          </wp:inline>
        </w:drawing>
      </w:r>
    </w:p>
    <w:p w14:paraId="2CC28DF8" w14:textId="77777777" w:rsidR="00C47CE5" w:rsidRDefault="00C47CE5" w:rsidP="00C47CE5">
      <w:pPr>
        <w:spacing w:before="120" w:after="240"/>
        <w:ind w:firstLine="284"/>
        <w:jc w:val="center"/>
        <w:rPr>
          <w:i/>
          <w:iCs/>
          <w:color w:val="333333"/>
          <w:sz w:val="21"/>
          <w:szCs w:val="21"/>
          <w:shd w:val="clear" w:color="auto" w:fill="FFFFFF"/>
        </w:rPr>
      </w:pPr>
      <w:r>
        <w:rPr>
          <w:b/>
          <w:bCs/>
          <w:i/>
          <w:iCs/>
          <w:sz w:val="21"/>
          <w:szCs w:val="21"/>
        </w:rPr>
        <w:t>Hình 4.</w:t>
      </w:r>
      <w:r>
        <w:rPr>
          <w:i/>
          <w:iCs/>
          <w:sz w:val="21"/>
          <w:szCs w:val="21"/>
        </w:rPr>
        <w:t xml:space="preserve"> </w:t>
      </w:r>
      <w:r>
        <w:rPr>
          <w:i/>
          <w:iCs/>
          <w:color w:val="333333"/>
          <w:sz w:val="21"/>
          <w:szCs w:val="21"/>
          <w:shd w:val="clear" w:color="auto" w:fill="FFFFFF"/>
        </w:rPr>
        <w:t>Dự án “THỢ ĐIỆN XANH” do tập đoàn Schneider Electric, Pháp, ngân hàng Đầu tư và Phát triển Đức</w:t>
      </w:r>
      <w:r>
        <w:rPr>
          <w:rFonts w:ascii="Open Sans" w:hAnsi="Open Sans" w:cs="Open Sans"/>
          <w:color w:val="333333"/>
          <w:shd w:val="clear" w:color="auto" w:fill="FFFFFF"/>
        </w:rPr>
        <w:t xml:space="preserve"> </w:t>
      </w:r>
      <w:r>
        <w:rPr>
          <w:i/>
          <w:iCs/>
          <w:color w:val="333333"/>
          <w:sz w:val="21"/>
          <w:szCs w:val="21"/>
          <w:shd w:val="clear" w:color="auto" w:fill="FFFFFF"/>
        </w:rPr>
        <w:t>và tổ chức phi chính phủ Assist Asia tài trợ</w:t>
      </w:r>
    </w:p>
    <w:p w14:paraId="3ECD318B" w14:textId="77777777" w:rsidR="00C47CE5" w:rsidRDefault="00C47CE5" w:rsidP="00C47CE5">
      <w:pPr>
        <w:spacing w:before="120"/>
        <w:ind w:firstLine="284"/>
        <w:jc w:val="center"/>
        <w:rPr>
          <w:i/>
          <w:iCs/>
          <w:color w:val="333333"/>
          <w:sz w:val="21"/>
          <w:szCs w:val="21"/>
          <w:shd w:val="clear" w:color="auto" w:fill="FFFFFF"/>
        </w:rPr>
      </w:pPr>
      <w:r>
        <w:rPr>
          <w:noProof/>
        </w:rPr>
        <w:drawing>
          <wp:inline distT="0" distB="0" distL="0" distR="0" wp14:anchorId="14B4BA68" wp14:editId="745FDE8D">
            <wp:extent cx="2920365" cy="2190115"/>
            <wp:effectExtent l="0" t="0" r="13335" b="63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a:picLocks noChangeAspect="1"/>
                    </pic:cNvPicPr>
                  </pic:nvPicPr>
                  <pic:blipFill>
                    <a:blip r:embed="rId8"/>
                    <a:stretch>
                      <a:fillRect/>
                    </a:stretch>
                  </pic:blipFill>
                  <pic:spPr>
                    <a:xfrm>
                      <a:off x="0" y="0"/>
                      <a:ext cx="2927822" cy="2195788"/>
                    </a:xfrm>
                    <a:prstGeom prst="rect">
                      <a:avLst/>
                    </a:prstGeom>
                  </pic:spPr>
                </pic:pic>
              </a:graphicData>
            </a:graphic>
          </wp:inline>
        </w:drawing>
      </w:r>
    </w:p>
    <w:p w14:paraId="60F28227" w14:textId="77777777" w:rsidR="00C47CE5" w:rsidRDefault="00C47CE5" w:rsidP="00C47CE5">
      <w:pPr>
        <w:spacing w:before="120" w:after="240"/>
        <w:ind w:firstLine="284"/>
        <w:jc w:val="center"/>
        <w:rPr>
          <w:i/>
          <w:iCs/>
          <w:color w:val="333333"/>
          <w:sz w:val="21"/>
          <w:szCs w:val="21"/>
          <w:shd w:val="clear" w:color="auto" w:fill="FFFFFF"/>
        </w:rPr>
      </w:pPr>
      <w:r>
        <w:rPr>
          <w:b/>
          <w:bCs/>
          <w:i/>
          <w:iCs/>
          <w:sz w:val="21"/>
          <w:szCs w:val="21"/>
        </w:rPr>
        <w:t>Hình 5.</w:t>
      </w:r>
      <w:r>
        <w:rPr>
          <w:i/>
          <w:iCs/>
          <w:sz w:val="21"/>
          <w:szCs w:val="21"/>
        </w:rPr>
        <w:t xml:space="preserve"> </w:t>
      </w:r>
      <w:r>
        <w:rPr>
          <w:i/>
          <w:iCs/>
          <w:color w:val="333333"/>
          <w:sz w:val="21"/>
          <w:szCs w:val="21"/>
          <w:shd w:val="clear" w:color="auto" w:fill="FFFFFF"/>
        </w:rPr>
        <w:t xml:space="preserve">Đạt giải nhất cấp Quốc gia do Tổng cục dạy nghề tổ chức: </w:t>
      </w:r>
      <w:r>
        <w:rPr>
          <w:rStyle w:val="Strong"/>
          <w:i/>
          <w:iCs/>
          <w:color w:val="354241"/>
          <w:sz w:val="21"/>
          <w:szCs w:val="21"/>
          <w:shd w:val="clear" w:color="auto" w:fill="FFFFFF"/>
        </w:rPr>
        <w:t>Hội thi Thiết bị đào tạo tự làm năm 2019 </w:t>
      </w:r>
    </w:p>
    <w:p w14:paraId="5277F825" w14:textId="77777777" w:rsidR="00C47CE5" w:rsidRDefault="00C47CE5" w:rsidP="00C47CE5">
      <w:pPr>
        <w:spacing w:before="120"/>
        <w:ind w:firstLine="284"/>
        <w:jc w:val="both"/>
        <w:rPr>
          <w:b/>
          <w:bCs/>
          <w:color w:val="0D0D0D"/>
          <w:sz w:val="21"/>
          <w:szCs w:val="21"/>
        </w:rPr>
      </w:pPr>
      <w:r>
        <w:rPr>
          <w:i/>
          <w:iCs/>
          <w:color w:val="0D0D0D"/>
          <w:sz w:val="21"/>
          <w:szCs w:val="21"/>
        </w:rPr>
        <w:t>Thứ năm,</w:t>
      </w:r>
      <w:r>
        <w:rPr>
          <w:color w:val="0D0D0D"/>
          <w:sz w:val="21"/>
          <w:szCs w:val="21"/>
        </w:rPr>
        <w:t xml:space="preserve"> </w:t>
      </w:r>
      <w:r>
        <w:rPr>
          <w:i/>
          <w:iCs/>
          <w:color w:val="0D0D0D"/>
          <w:sz w:val="21"/>
          <w:szCs w:val="21"/>
        </w:rPr>
        <w:t>các phòng ban chức năng</w:t>
      </w:r>
      <w:r>
        <w:rPr>
          <w:b/>
          <w:bCs/>
          <w:i/>
          <w:iCs/>
          <w:color w:val="0D0D0D"/>
          <w:sz w:val="21"/>
          <w:szCs w:val="21"/>
        </w:rPr>
        <w:t xml:space="preserve"> </w:t>
      </w:r>
      <w:r>
        <w:rPr>
          <w:i/>
          <w:iCs/>
          <w:color w:val="0D0D0D"/>
          <w:sz w:val="21"/>
          <w:szCs w:val="21"/>
        </w:rPr>
        <w:t>cần tham mưu xây dựng và hoàn thiện bộ tiêu chí về năng lực riêng biệt cho đội ngũ giảng viên</w:t>
      </w:r>
      <w:r>
        <w:rPr>
          <w:color w:val="0D0D0D"/>
          <w:sz w:val="21"/>
          <w:szCs w:val="21"/>
        </w:rPr>
        <w:t xml:space="preserve">. Trên cơ sở đó, nhà trường xây dựng chiến lược phát triển đối với đội ngũ giảng viên cho phù hợp với nhu cầu của đơn vị thông qua nhiều hình thức đào tạo. </w:t>
      </w:r>
      <w:r>
        <w:rPr>
          <w:rStyle w:val="fontstyle01"/>
          <w:sz w:val="21"/>
          <w:szCs w:val="21"/>
        </w:rPr>
        <w:t>Việc xây dựng bộ tiêu chí đánh giá năng lực giảng viên của Trường là thực sự cần thiết. Vì đối với nhà trường, đánh giá chất lượng đội ngũ giảng viên góp phần nhận diện được hiện trạng đội ngũ giảng viên, khả năng cạnh tranh của nhà trường. Trên cơ sở này, nhà trường có thể xây dựng được chiến lược phát triển đội ngũ giảng viên của mình, đồng thời có thể đánh giá một cách vừa toàn diện vừa cụ thể năng lực của từng giảng viên trong nhà trường. Đồng thời, bộ tiêu chí đánh giá năng lực giảng viên này còn là cơ sở để thúc đẩy mỗi giảng viên nỗ lực để hoàn thiện bản thân, nhằm đạt được yêu cầu nhiệm vụ mà nhà trường đặt ra. Chẳng hạn, giảng viên sẽ có ý thức chủ động tự học, bồi dưỡng để không ngừng nâng cao năng lực của bản thân. Mặt khác, giảng viên cũng có thể tự đánh giá được năng lực của bản thân, xem xét những ưu điểm, hạn chế và chủ động tìm kiếm biện pháp khắc phục để hoàn thiện năng lực hơn theo yêu cầu của nhà trường.</w:t>
      </w:r>
    </w:p>
    <w:p w14:paraId="5F778572" w14:textId="77777777" w:rsidR="00C47CE5" w:rsidRDefault="00C47CE5" w:rsidP="00C47CE5">
      <w:pPr>
        <w:spacing w:before="120"/>
        <w:ind w:firstLine="284"/>
        <w:jc w:val="both"/>
        <w:rPr>
          <w:rStyle w:val="fontstyle01"/>
          <w:sz w:val="21"/>
          <w:szCs w:val="21"/>
        </w:rPr>
      </w:pPr>
      <w:r>
        <w:rPr>
          <w:color w:val="0D0D0D"/>
          <w:sz w:val="21"/>
          <w:szCs w:val="21"/>
        </w:rPr>
        <w:t xml:space="preserve">Trước tác động của cuộc cách mạng công nghiệp 4.0 diễn ra trên nhiều lĩnh vực và để đáp ứng được yêu cầu đặt ra, giáo dục cao đẳng ở Việt Nam cần phải nhanh chóng thay đổi phương thức đào tạo cho phù hợp với xu hướng phát triển của thế giới theo sự phát triển mạnh mẽ của khoa học và công nghệ thông tin. Một trong những nhân tố chủ yếu quyết định sự thành công của giáo dục cao đẳng là đội ngũ giảng viên. Vì vậy, mỗi giảng viên cần quyết tâm và kiên trì, nỗ lực hết mình, trước hết cần chủ động tìm hiểu và ứng dụng những thành tựu của khoa học - công nghệ vào việc nâng cao hiệu quả công tác giảng dạy, từ đó góp phần đào tạo được nguồn nhân lực có số lượng, chất lượng đáp ứng yêu cầu ngày càng cao của cuộc cách mạng công nghiệp 4.0 đang diễn ra </w:t>
      </w:r>
      <w:r>
        <w:rPr>
          <w:color w:val="0D0D0D"/>
          <w:sz w:val="21"/>
          <w:szCs w:val="21"/>
        </w:rPr>
        <w:lastRenderedPageBreak/>
        <w:t>hiện nay.</w:t>
      </w:r>
    </w:p>
    <w:p w14:paraId="074756BC" w14:textId="77777777" w:rsidR="00C47CE5" w:rsidRDefault="00C47CE5" w:rsidP="00C47CE5">
      <w:pPr>
        <w:spacing w:before="120" w:after="120"/>
        <w:rPr>
          <w:rStyle w:val="fontstyle01"/>
          <w:sz w:val="21"/>
          <w:szCs w:val="21"/>
        </w:rPr>
      </w:pPr>
      <w:r>
        <w:rPr>
          <w:rStyle w:val="fontstyle01"/>
          <w:sz w:val="21"/>
          <w:szCs w:val="21"/>
        </w:rPr>
        <w:t>3. Kết Luận</w:t>
      </w:r>
    </w:p>
    <w:p w14:paraId="56D7287C" w14:textId="77777777" w:rsidR="00C47CE5" w:rsidRDefault="00C47CE5" w:rsidP="00C47CE5">
      <w:pPr>
        <w:ind w:firstLine="284"/>
        <w:jc w:val="both"/>
        <w:rPr>
          <w:rStyle w:val="fontstyle21"/>
          <w:sz w:val="21"/>
          <w:szCs w:val="21"/>
        </w:rPr>
      </w:pPr>
      <w:r>
        <w:rPr>
          <w:sz w:val="21"/>
          <w:szCs w:val="21"/>
        </w:rPr>
        <w:t xml:space="preserve">Phát triển đội ngũ nhà giáo luôn là vấn đề chiến lược, là yếu tố quan trọng hàng đầu quyết định chất lượng giáo dục. Đó là nguồn nhân lực đóng vai trò kép: một mặt là nguồn nhân lực chất lượng cao, mặt khác là nguồn nhân lực đóng vai trò quan trọng trong đào tạo nguồn nhân lực mới có khả năng hiện thực hóa mọi kế hoạch cho tương lai, đặc biệt trong thời đại mới, được xem là thời đại của nền công nghệ thông tin và kinh tế tri thức. Vì thế nâng cao chất lượng đội ngũ giảng viên được xem là khâu đột phá, trọng tâm của việc đổi mới căn bản và toàn diện giáo dục. </w:t>
      </w:r>
      <w:r>
        <w:rPr>
          <w:color w:val="0D0D0D"/>
          <w:sz w:val="21"/>
          <w:szCs w:val="21"/>
        </w:rPr>
        <w:t>Vị thế, vai trò của người thầy giáo ở bất cứ thời đại nào cũng rất quan trọng trong ngành giáo dục. Họ luôn được xã hội kính trọng và dành những tình cảm trân trọng nhất. Theo đó, các thầy giáo, cô giáo phải không ngừng học tập, NCKH để nâng cao trình độ, xứng đáng với sự tin cậy của xã hội.</w:t>
      </w:r>
      <w:r>
        <w:rPr>
          <w:sz w:val="21"/>
          <w:szCs w:val="21"/>
        </w:rPr>
        <w:t xml:space="preserve"> </w:t>
      </w:r>
      <w:r>
        <w:rPr>
          <w:rStyle w:val="fontstyle21"/>
          <w:sz w:val="21"/>
          <w:szCs w:val="21"/>
        </w:rPr>
        <w:t>Để nâng cao chất lượng đội ngũ giảng viên của nhà trường đáp ứng yêu cầu của cuộc cách mạng công nghiệp 4.0, cần tiến hành đồng bộ nhiều giải pháp như tôi đã kiến nghị ở trên, đòi hỏi sự quyết tâm, đồng lòng của Ban giám hiệu, các phòng ban, các đoàn thể, các Khoa và toàn thể cán bộ giáo viên trong nhà trường.</w:t>
      </w:r>
    </w:p>
    <w:p w14:paraId="1739141C" w14:textId="77777777" w:rsidR="00C47CE5" w:rsidRDefault="00C47CE5" w:rsidP="00C47CE5">
      <w:pPr>
        <w:rPr>
          <w:rStyle w:val="fontstyle21"/>
          <w:sz w:val="21"/>
          <w:szCs w:val="21"/>
        </w:rPr>
      </w:pPr>
      <w:r>
        <w:rPr>
          <w:rStyle w:val="fontstyle21"/>
          <w:sz w:val="21"/>
          <w:szCs w:val="21"/>
        </w:rPr>
        <w:br w:type="page"/>
      </w:r>
    </w:p>
    <w:p w14:paraId="03C541B4" w14:textId="77777777" w:rsidR="00C47CE5" w:rsidRDefault="00C47CE5" w:rsidP="00C47CE5">
      <w:pPr>
        <w:rPr>
          <w:rStyle w:val="fontstyle21"/>
          <w:sz w:val="21"/>
          <w:szCs w:val="21"/>
        </w:rPr>
      </w:pPr>
    </w:p>
    <w:p w14:paraId="41764D77" w14:textId="77777777" w:rsidR="00C47CE5" w:rsidRDefault="00C47CE5" w:rsidP="00C47CE5">
      <w:pPr>
        <w:rPr>
          <w:i/>
          <w:iCs/>
          <w:sz w:val="21"/>
          <w:szCs w:val="21"/>
        </w:rPr>
      </w:pPr>
      <w:r>
        <w:rPr>
          <w:b/>
          <w:bCs/>
          <w:sz w:val="21"/>
          <w:szCs w:val="21"/>
        </w:rPr>
        <w:t>Tài liệu tham khảo</w:t>
      </w:r>
    </w:p>
    <w:p w14:paraId="7286951C" w14:textId="77777777" w:rsidR="00C47CE5" w:rsidRDefault="00C47CE5" w:rsidP="00C47CE5">
      <w:pPr>
        <w:spacing w:after="120"/>
        <w:jc w:val="both"/>
        <w:rPr>
          <w:i/>
          <w:iCs/>
          <w:sz w:val="21"/>
          <w:szCs w:val="21"/>
        </w:rPr>
      </w:pPr>
      <w:r>
        <w:rPr>
          <w:sz w:val="21"/>
          <w:szCs w:val="21"/>
        </w:rPr>
        <w:t>1</w:t>
      </w:r>
      <w:r>
        <w:rPr>
          <w:i/>
          <w:iCs/>
          <w:sz w:val="21"/>
          <w:szCs w:val="21"/>
        </w:rPr>
        <w:t xml:space="preserve">. </w:t>
      </w:r>
      <w:r>
        <w:rPr>
          <w:sz w:val="21"/>
          <w:szCs w:val="21"/>
        </w:rPr>
        <w:t>Bùi Hà Phương, 2019,</w:t>
      </w:r>
      <w:r>
        <w:rPr>
          <w:i/>
          <w:iCs/>
          <w:sz w:val="21"/>
          <w:szCs w:val="21"/>
        </w:rPr>
        <w:t xml:space="preserve"> Xây dựng tiêu chí đánh giá năng lực giảng viên đại học: biện pháp nâng cao chất lượng đội ngũ giảng viên tại trường Đại học Xã hội và Nhân văn, </w:t>
      </w:r>
      <w:r>
        <w:rPr>
          <w:sz w:val="21"/>
          <w:szCs w:val="21"/>
        </w:rPr>
        <w:t>Đại học Quốc gia Thành phố Hồ Chí Minh, Tạp chí Phát triển Khoa học và Công nghệ – Khoa học Xã hội và Nhân văn, 3(1):18- 24</w:t>
      </w:r>
      <w:r>
        <w:rPr>
          <w:i/>
          <w:iCs/>
          <w:sz w:val="21"/>
          <w:szCs w:val="21"/>
        </w:rPr>
        <w:t xml:space="preserve"> </w:t>
      </w:r>
    </w:p>
    <w:p w14:paraId="30134CEF" w14:textId="77777777" w:rsidR="00C47CE5" w:rsidRDefault="00C47CE5" w:rsidP="00C47CE5">
      <w:pPr>
        <w:spacing w:after="120"/>
        <w:rPr>
          <w:i/>
          <w:iCs/>
          <w:sz w:val="21"/>
          <w:szCs w:val="21"/>
        </w:rPr>
      </w:pPr>
      <w:r>
        <w:rPr>
          <w:sz w:val="21"/>
          <w:szCs w:val="21"/>
        </w:rPr>
        <w:t>2.</w:t>
      </w:r>
      <w:r>
        <w:rPr>
          <w:i/>
          <w:iCs/>
          <w:sz w:val="21"/>
          <w:szCs w:val="21"/>
        </w:rPr>
        <w:t xml:space="preserve"> </w:t>
      </w:r>
      <w:r>
        <w:rPr>
          <w:color w:val="000000"/>
          <w:sz w:val="21"/>
          <w:szCs w:val="21"/>
        </w:rPr>
        <w:t>Nguyễn Văn Đệ</w:t>
      </w:r>
      <w:r>
        <w:rPr>
          <w:sz w:val="21"/>
          <w:szCs w:val="21"/>
        </w:rPr>
        <w:t>, 2019</w:t>
      </w:r>
      <w:r>
        <w:rPr>
          <w:i/>
          <w:iCs/>
          <w:sz w:val="21"/>
          <w:szCs w:val="21"/>
        </w:rPr>
        <w:t xml:space="preserve">, </w:t>
      </w:r>
      <w:r>
        <w:rPr>
          <w:i/>
          <w:iCs/>
          <w:color w:val="000000"/>
          <w:sz w:val="21"/>
          <w:szCs w:val="21"/>
        </w:rPr>
        <w:t>giải pháp nâng cao năng lực đội ngũ giảng viên các trường đại học ở vùng ĐBSCL trong bối cảnh hội nhập</w:t>
      </w:r>
      <w:r>
        <w:rPr>
          <w:b/>
          <w:bCs/>
          <w:i/>
          <w:iCs/>
          <w:color w:val="000000"/>
          <w:sz w:val="21"/>
          <w:szCs w:val="21"/>
        </w:rPr>
        <w:t xml:space="preserve">, </w:t>
      </w:r>
      <w:r>
        <w:rPr>
          <w:color w:val="000000"/>
          <w:sz w:val="21"/>
          <w:szCs w:val="21"/>
        </w:rPr>
        <w:t>Tạp chí Khoa học 2009:12 182-192</w:t>
      </w:r>
    </w:p>
    <w:p w14:paraId="6F7B26BE" w14:textId="77777777" w:rsidR="00C47CE5" w:rsidRDefault="00C47CE5" w:rsidP="00C47CE5">
      <w:pPr>
        <w:spacing w:after="120"/>
        <w:rPr>
          <w:color w:val="000000"/>
          <w:sz w:val="21"/>
          <w:szCs w:val="21"/>
        </w:rPr>
      </w:pPr>
      <w:r>
        <w:rPr>
          <w:sz w:val="21"/>
          <w:szCs w:val="21"/>
        </w:rPr>
        <w:t xml:space="preserve">3. </w:t>
      </w:r>
      <w:r>
        <w:rPr>
          <w:color w:val="000000"/>
          <w:sz w:val="21"/>
          <w:szCs w:val="21"/>
        </w:rPr>
        <w:t>Hồ Chí Minh Toàn tập, Nxb Chính trị quốc gia, HN. 2011, tập 5, tr.309.</w:t>
      </w:r>
    </w:p>
    <w:p w14:paraId="628A3085" w14:textId="77777777" w:rsidR="00C47CE5" w:rsidRDefault="00C47CE5" w:rsidP="00C47CE5">
      <w:pPr>
        <w:spacing w:after="120"/>
        <w:rPr>
          <w:i/>
          <w:iCs/>
          <w:color w:val="000000"/>
          <w:sz w:val="21"/>
          <w:szCs w:val="21"/>
        </w:rPr>
      </w:pPr>
      <w:r>
        <w:rPr>
          <w:color w:val="000000"/>
          <w:sz w:val="21"/>
          <w:szCs w:val="21"/>
        </w:rPr>
        <w:t>4. Học viện Chính trị quốc gia Hồ Chí Minh</w:t>
      </w:r>
      <w:r>
        <w:rPr>
          <w:i/>
          <w:iCs/>
          <w:color w:val="000000"/>
          <w:sz w:val="21"/>
          <w:szCs w:val="21"/>
        </w:rPr>
        <w:t>, Cách mạng công nghiệp lần thứ tư - thời cơ và thách thức đối với Việt Nam</w:t>
      </w:r>
      <w:r>
        <w:rPr>
          <w:color w:val="000000"/>
          <w:sz w:val="21"/>
          <w:szCs w:val="21"/>
        </w:rPr>
        <w:t>, Nxb Lý luận Chính trị, H.2017, tr.12.</w:t>
      </w:r>
    </w:p>
    <w:p w14:paraId="6A7454ED" w14:textId="77777777" w:rsidR="00C47CE5" w:rsidRDefault="00C47CE5" w:rsidP="00C47CE5">
      <w:pPr>
        <w:rPr>
          <w:i/>
          <w:iCs/>
          <w:sz w:val="21"/>
          <w:szCs w:val="21"/>
        </w:rPr>
      </w:pPr>
      <w:r>
        <w:rPr>
          <w:color w:val="000000"/>
          <w:sz w:val="21"/>
          <w:szCs w:val="21"/>
        </w:rPr>
        <w:t xml:space="preserve">5. </w:t>
      </w:r>
      <w:r>
        <w:rPr>
          <w:sz w:val="21"/>
          <w:szCs w:val="21"/>
        </w:rPr>
        <w:t>Nguyễn Thị Nội, 2020</w:t>
      </w:r>
      <w:r>
        <w:rPr>
          <w:i/>
          <w:iCs/>
          <w:sz w:val="21"/>
          <w:szCs w:val="21"/>
        </w:rPr>
        <w:t xml:space="preserve">, Một số giải pháp nâng cao chất lượng đội ngũ giảng viên đại học trong bối cảnh hiện nay, </w:t>
      </w:r>
      <w:r>
        <w:rPr>
          <w:sz w:val="21"/>
          <w:szCs w:val="21"/>
        </w:rPr>
        <w:t>Tạp chí Giáo dục, Số 480 (Kì 2 - 6/2020), tr 1-4</w:t>
      </w:r>
    </w:p>
    <w:p w14:paraId="0BEAF68C" w14:textId="77777777" w:rsidR="00C47CE5" w:rsidRDefault="00C47CE5" w:rsidP="00C47CE5">
      <w:pPr>
        <w:spacing w:before="120" w:after="120"/>
        <w:rPr>
          <w:color w:val="0D0D0D"/>
          <w:sz w:val="21"/>
          <w:szCs w:val="21"/>
        </w:rPr>
      </w:pPr>
      <w:r>
        <w:rPr>
          <w:color w:val="0D0D0D"/>
          <w:sz w:val="21"/>
          <w:szCs w:val="21"/>
        </w:rPr>
        <w:t xml:space="preserve">6. Nguyễn Thị Thúy Dung (2019). </w:t>
      </w:r>
      <w:r>
        <w:rPr>
          <w:i/>
          <w:iCs/>
          <w:color w:val="0D0D0D"/>
          <w:sz w:val="21"/>
          <w:szCs w:val="21"/>
        </w:rPr>
        <w:t>Tạo động lực lao động cho giảng viên đại học trong bối cảnh đổi mới giáo dục đại học</w:t>
      </w:r>
      <w:r>
        <w:rPr>
          <w:color w:val="0D0D0D"/>
          <w:sz w:val="21"/>
          <w:szCs w:val="21"/>
        </w:rPr>
        <w:t>. Tạp chí Giáo dục, số 452, tr 10-14.</w:t>
      </w:r>
    </w:p>
    <w:p w14:paraId="5001024B" w14:textId="77777777" w:rsidR="00C47CE5" w:rsidRDefault="00C47CE5" w:rsidP="00C47CE5">
      <w:pPr>
        <w:spacing w:before="120" w:after="120"/>
        <w:rPr>
          <w:color w:val="0D0D0D"/>
          <w:sz w:val="21"/>
          <w:szCs w:val="21"/>
        </w:rPr>
      </w:pPr>
      <w:r>
        <w:rPr>
          <w:color w:val="0D0D0D"/>
          <w:sz w:val="21"/>
          <w:szCs w:val="21"/>
        </w:rPr>
        <w:t xml:space="preserve">7. Nguyễn Thu Hạnh (2018). </w:t>
      </w:r>
      <w:r>
        <w:rPr>
          <w:i/>
          <w:iCs/>
          <w:color w:val="0D0D0D"/>
          <w:sz w:val="21"/>
          <w:szCs w:val="21"/>
        </w:rPr>
        <w:t>Đổi mới công tác bồi dưỡng đội ngũ giảng viên đại học ở Việt Nam đáp ứng yêu cầu hội nhập quốc tế</w:t>
      </w:r>
      <w:r>
        <w:rPr>
          <w:color w:val="0D0D0D"/>
          <w:sz w:val="21"/>
          <w:szCs w:val="21"/>
        </w:rPr>
        <w:t>. Kỉ yếu hội thảo “Giáo dục đại học - Chuẩn hóa và hội nhập quốc tế”. NXB. Đại học Quốc gia TP. Hồ Chí Minh, tr 473-478.</w:t>
      </w:r>
    </w:p>
    <w:p w14:paraId="51C1E23E" w14:textId="77777777" w:rsidR="00C47CE5" w:rsidRDefault="00C47CE5" w:rsidP="00C47CE5">
      <w:pPr>
        <w:spacing w:before="120" w:after="120"/>
        <w:rPr>
          <w:color w:val="0D0D0D"/>
          <w:sz w:val="21"/>
          <w:szCs w:val="21"/>
        </w:rPr>
      </w:pPr>
      <w:r>
        <w:rPr>
          <w:color w:val="0D0D0D"/>
          <w:sz w:val="21"/>
          <w:szCs w:val="21"/>
        </w:rPr>
        <w:t xml:space="preserve">8. Nguyễn Văn Tuấn (2019). </w:t>
      </w:r>
      <w:r>
        <w:rPr>
          <w:i/>
          <w:iCs/>
          <w:color w:val="0D0D0D"/>
          <w:sz w:val="21"/>
          <w:szCs w:val="21"/>
        </w:rPr>
        <w:t xml:space="preserve">Một số giải pháp đẩy mạnh hoạt động nghiên cứu khoa học của giảng viên đại học. </w:t>
      </w:r>
      <w:r>
        <w:rPr>
          <w:color w:val="0D0D0D"/>
          <w:sz w:val="21"/>
          <w:szCs w:val="21"/>
        </w:rPr>
        <w:t xml:space="preserve">Tạp chí Giáo dục, số 468, tr 18-22; </w:t>
      </w:r>
    </w:p>
    <w:p w14:paraId="16114D0D" w14:textId="77777777" w:rsidR="00C47CE5" w:rsidRDefault="00C47CE5" w:rsidP="00C47CE5">
      <w:pPr>
        <w:spacing w:before="120" w:after="120"/>
        <w:rPr>
          <w:i/>
          <w:iCs/>
          <w:color w:val="000000"/>
          <w:sz w:val="21"/>
          <w:szCs w:val="21"/>
        </w:rPr>
      </w:pPr>
      <w:r>
        <w:rPr>
          <w:color w:val="0D0D0D"/>
          <w:sz w:val="21"/>
          <w:szCs w:val="21"/>
        </w:rPr>
        <w:t xml:space="preserve">9. Phùng Văn Hiền (2017). </w:t>
      </w:r>
      <w:r>
        <w:rPr>
          <w:i/>
          <w:iCs/>
          <w:color w:val="0D0D0D"/>
          <w:sz w:val="21"/>
          <w:szCs w:val="21"/>
        </w:rPr>
        <w:t>Một số giải pháp nâng cao chất lượng hoạt động nghiên cứu khoa học trong các cơ sở giáo dục đại học</w:t>
      </w:r>
      <w:r>
        <w:rPr>
          <w:color w:val="0D0D0D"/>
          <w:sz w:val="21"/>
          <w:szCs w:val="21"/>
        </w:rPr>
        <w:t>. Tạp chí Lí luận chính trị, số 3, tr 68-72.</w:t>
      </w:r>
    </w:p>
    <w:p w14:paraId="30C5AE1C" w14:textId="77777777" w:rsidR="00C47CE5" w:rsidRDefault="00C47CE5" w:rsidP="00C47CE5">
      <w:pPr>
        <w:rPr>
          <w:sz w:val="21"/>
          <w:szCs w:val="21"/>
        </w:rPr>
      </w:pPr>
      <w:r>
        <w:rPr>
          <w:sz w:val="21"/>
          <w:szCs w:val="21"/>
        </w:rPr>
        <w:t>10.</w:t>
      </w:r>
      <w:r>
        <w:rPr>
          <w:i/>
          <w:iCs/>
          <w:sz w:val="21"/>
          <w:szCs w:val="21"/>
        </w:rPr>
        <w:t xml:space="preserve"> </w:t>
      </w:r>
      <w:r>
        <w:rPr>
          <w:sz w:val="21"/>
          <w:szCs w:val="21"/>
        </w:rPr>
        <w:t xml:space="preserve">Bruno Aguilera Brachet (2012). </w:t>
      </w:r>
      <w:r>
        <w:rPr>
          <w:i/>
          <w:iCs/>
          <w:sz w:val="21"/>
          <w:szCs w:val="21"/>
        </w:rPr>
        <w:t>A higher education for the 21th century: European an US approaches, CES</w:t>
      </w:r>
      <w:r>
        <w:rPr>
          <w:sz w:val="21"/>
          <w:szCs w:val="21"/>
        </w:rPr>
        <w:t xml:space="preserve"> (Center for European Studies).</w:t>
      </w:r>
    </w:p>
    <w:p w14:paraId="2AB53F77" w14:textId="77777777" w:rsidR="00C47CE5" w:rsidRDefault="00C47CE5" w:rsidP="00C47CE5">
      <w:pPr>
        <w:spacing w:before="120" w:after="120"/>
        <w:rPr>
          <w:sz w:val="21"/>
          <w:szCs w:val="21"/>
        </w:rPr>
      </w:pPr>
      <w:r>
        <w:rPr>
          <w:sz w:val="21"/>
          <w:szCs w:val="21"/>
        </w:rPr>
        <w:t xml:space="preserve">11. </w:t>
      </w:r>
      <w:hyperlink r:id="rId9" w:history="1">
        <w:r>
          <w:rPr>
            <w:rStyle w:val="Hyperlink"/>
            <w:color w:val="auto"/>
            <w:sz w:val="21"/>
            <w:szCs w:val="21"/>
          </w:rPr>
          <w:t>https://tulieuvankien.dangcongsan.vn/ban-chap-hanh-trung-uong-dang/dai-hoi-dang/lan-thu-xiii/chien-luoc-phat-trien-kinh-te-xa-hoi-10-nam-2021-2030-3671</w:t>
        </w:r>
      </w:hyperlink>
    </w:p>
    <w:p w14:paraId="0650832A" w14:textId="77777777" w:rsidR="00C47CE5" w:rsidRDefault="00C47CE5" w:rsidP="00C47CE5">
      <w:pPr>
        <w:rPr>
          <w:sz w:val="21"/>
          <w:szCs w:val="21"/>
        </w:rPr>
      </w:pPr>
      <w:r>
        <w:rPr>
          <w:sz w:val="21"/>
          <w:szCs w:val="21"/>
        </w:rPr>
        <w:t>12. https://www.quanlynhanuoc.vn/2021/01/05/doi-moi-va-nang-cao-chat-luong-giao-duc-nghe-nghiep-dap-ung-yeu-cau-hoi-nhap/</w:t>
      </w:r>
    </w:p>
    <w:p w14:paraId="285DE92E" w14:textId="59C487F2" w:rsidR="00427140" w:rsidRDefault="00C47CE5" w:rsidP="00C47CE5">
      <w:r>
        <w:rPr>
          <w:sz w:val="21"/>
          <w:szCs w:val="21"/>
        </w:rPr>
        <w:t>13. https://moet.gov.vn/tintuc/Pages/doi-moi-can-ban-toan-dien-gd-va-dt.aspx?ItemID=6389</w:t>
      </w:r>
    </w:p>
    <w:sectPr w:rsidR="00427140">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egoe UI Semilight">
    <w:panose1 w:val="020B0402040204020203"/>
    <w:charset w:val="00"/>
    <w:family w:val="swiss"/>
    <w:pitch w:val="variable"/>
    <w:sig w:usb0="E4002EFF" w:usb1="C000E47F" w:usb2="00000009" w:usb3="00000000" w:csb0="000001FF" w:csb1="00000000"/>
  </w:font>
  <w:font w:name="Open Sans">
    <w:charset w:val="00"/>
    <w:family w:val="swiss"/>
    <w:pitch w:val="variable"/>
    <w:sig w:usb0="E00002EF" w:usb1="4000205B" w:usb2="00000028"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30"/>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47CE5"/>
    <w:rsid w:val="00427140"/>
    <w:rsid w:val="00C47CE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CE6EE09"/>
  <w15:chartTrackingRefBased/>
  <w15:docId w15:val="{8AC4E74A-F411-4B1B-91F5-69D6568751F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Arial" w:eastAsiaTheme="minorHAnsi" w:hAnsi="Arial"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semiHidden="1" w:unhideWhenUsed="1"/>
    <w:lsdException w:name="Table Grid" w:uiPriority="39" w:qFormat="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47CE5"/>
    <w:pPr>
      <w:widowControl w:val="0"/>
      <w:autoSpaceDE w:val="0"/>
      <w:autoSpaceDN w:val="0"/>
      <w:spacing w:after="0" w:line="240" w:lineRule="auto"/>
    </w:pPr>
    <w:rPr>
      <w:rFonts w:ascii="Times New Roman" w:eastAsia="Times New Roman" w:hAnsi="Times New Roman" w:cs="Times New Roman"/>
      <w:lang w:val="vi"/>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unhideWhenUsed/>
    <w:qFormat/>
    <w:rsid w:val="00C47CE5"/>
    <w:rPr>
      <w:color w:val="0000FF"/>
      <w:u w:val="single"/>
    </w:rPr>
  </w:style>
  <w:style w:type="paragraph" w:styleId="NormalWeb">
    <w:name w:val="Normal (Web)"/>
    <w:basedOn w:val="Normal"/>
    <w:uiPriority w:val="99"/>
    <w:unhideWhenUsed/>
    <w:qFormat/>
    <w:rsid w:val="00C47CE5"/>
    <w:pPr>
      <w:widowControl/>
      <w:autoSpaceDE/>
      <w:autoSpaceDN/>
      <w:spacing w:before="100" w:beforeAutospacing="1" w:after="100" w:afterAutospacing="1"/>
    </w:pPr>
    <w:rPr>
      <w:sz w:val="24"/>
      <w:szCs w:val="24"/>
      <w:lang w:val="en-US"/>
    </w:rPr>
  </w:style>
  <w:style w:type="character" w:styleId="Strong">
    <w:name w:val="Strong"/>
    <w:basedOn w:val="DefaultParagraphFont"/>
    <w:uiPriority w:val="22"/>
    <w:qFormat/>
    <w:rsid w:val="00C47CE5"/>
    <w:rPr>
      <w:b/>
      <w:bCs/>
    </w:rPr>
  </w:style>
  <w:style w:type="table" w:styleId="TableGrid">
    <w:name w:val="Table Grid"/>
    <w:basedOn w:val="TableNormal"/>
    <w:uiPriority w:val="39"/>
    <w:qFormat/>
    <w:rsid w:val="00C47CE5"/>
    <w:pPr>
      <w:spacing w:after="0" w:line="240" w:lineRule="auto"/>
    </w:pPr>
    <w:rPr>
      <w:rFonts w:asciiTheme="minorHAnsi" w:hAnsiTheme="minorHAns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style01">
    <w:name w:val="fontstyle01"/>
    <w:basedOn w:val="DefaultParagraphFont"/>
    <w:qFormat/>
    <w:rsid w:val="00C47CE5"/>
    <w:rPr>
      <w:rFonts w:ascii="Times New Roman" w:hAnsi="Times New Roman" w:cs="Times New Roman" w:hint="default"/>
      <w:i/>
      <w:iCs/>
      <w:color w:val="000000"/>
      <w:sz w:val="24"/>
      <w:szCs w:val="24"/>
    </w:rPr>
  </w:style>
  <w:style w:type="character" w:customStyle="1" w:styleId="fontstyle21">
    <w:name w:val="fontstyle21"/>
    <w:basedOn w:val="DefaultParagraphFont"/>
    <w:qFormat/>
    <w:rsid w:val="00C47CE5"/>
    <w:rPr>
      <w:rFonts w:ascii="Times New Roman" w:hAnsi="Times New Roman" w:cs="Times New Roman" w:hint="default"/>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5.png"/><Relationship Id="rId3" Type="http://schemas.openxmlformats.org/officeDocument/2006/relationships/webSettings" Target="webSettings.xml"/><Relationship Id="rId7" Type="http://schemas.openxmlformats.org/officeDocument/2006/relationships/image" Target="media/image4.png"/><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3.png"/><Relationship Id="rId11" Type="http://schemas.openxmlformats.org/officeDocument/2006/relationships/theme" Target="theme/theme1.xml"/><Relationship Id="rId5" Type="http://schemas.openxmlformats.org/officeDocument/2006/relationships/image" Target="media/image2.png"/><Relationship Id="rId10" Type="http://schemas.openxmlformats.org/officeDocument/2006/relationships/fontTable" Target="fontTable.xml"/><Relationship Id="rId4" Type="http://schemas.openxmlformats.org/officeDocument/2006/relationships/image" Target="media/image1.png"/><Relationship Id="rId9" Type="http://schemas.openxmlformats.org/officeDocument/2006/relationships/hyperlink" Target="https://tulieuvankien.dangcongsan.vn/ban-chap-hanh-trung-uong-dang/dai-hoi-dang/lan-thu-xiii/chien-luoc-phat-trien-kinh-te-xa-hoi-10-nam-2021-2030-3671"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0</TotalTime>
  <Pages>9</Pages>
  <Words>4356</Words>
  <Characters>24834</Characters>
  <Application>Microsoft Office Word</Application>
  <DocSecurity>0</DocSecurity>
  <Lines>206</Lines>
  <Paragraphs>58</Paragraphs>
  <ScaleCrop>false</ScaleCrop>
  <Company/>
  <LinksUpToDate>false</LinksUpToDate>
  <CharactersWithSpaces>29132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Administrator</dc:creator>
  <cp:keywords/>
  <dc:description/>
  <cp:lastModifiedBy>Administrator</cp:lastModifiedBy>
  <cp:revision>1</cp:revision>
  <dcterms:created xsi:type="dcterms:W3CDTF">2021-08-01T07:23:00Z</dcterms:created>
  <dcterms:modified xsi:type="dcterms:W3CDTF">2021-08-01T07:23:00Z</dcterms:modified>
</cp:coreProperties>
</file>